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71" w:rsidRDefault="00A11F71" w:rsidP="008D7D48">
      <w:pPr>
        <w:pStyle w:val="2"/>
        <w:spacing w:before="0" w:after="0"/>
        <w:ind w:firstLine="0"/>
        <w:rPr>
          <w:rFonts w:cs="Times New Roman"/>
        </w:rPr>
      </w:pPr>
      <w:bookmarkStart w:id="0" w:name="_Toc11392214"/>
    </w:p>
    <w:p w:rsidR="008D7D48" w:rsidRPr="00F31CC9" w:rsidRDefault="008D7D48" w:rsidP="008D7D48">
      <w:pPr>
        <w:pStyle w:val="2"/>
        <w:spacing w:before="0" w:after="0"/>
        <w:ind w:firstLine="0"/>
        <w:rPr>
          <w:rFonts w:cs="Times New Roman"/>
          <w:i/>
        </w:rPr>
      </w:pPr>
      <w:r>
        <w:rPr>
          <w:rFonts w:cs="Times New Roman"/>
        </w:rPr>
        <w:t xml:space="preserve">Методические рекомендации </w:t>
      </w:r>
      <w:r w:rsidR="00C45C24">
        <w:rPr>
          <w:rFonts w:cs="Times New Roman"/>
        </w:rPr>
        <w:t>для воспитателей</w:t>
      </w:r>
      <w:r w:rsidR="00A11F71">
        <w:rPr>
          <w:rFonts w:cs="Times New Roman"/>
        </w:rPr>
        <w:t xml:space="preserve"> на тему:</w:t>
      </w:r>
      <w:r w:rsidR="00C45C24">
        <w:rPr>
          <w:rFonts w:cs="Times New Roman"/>
        </w:rPr>
        <w:t xml:space="preserve"> </w:t>
      </w:r>
      <w:r w:rsidR="00A11F71">
        <w:rPr>
          <w:rFonts w:cs="Times New Roman"/>
        </w:rPr>
        <w:t>«Ф</w:t>
      </w:r>
      <w:r w:rsidRPr="00F31CC9">
        <w:rPr>
          <w:rFonts w:cs="Times New Roman"/>
        </w:rPr>
        <w:t>ормировани</w:t>
      </w:r>
      <w:r w:rsidR="00A11F71">
        <w:rPr>
          <w:rFonts w:cs="Times New Roman"/>
        </w:rPr>
        <w:t>е</w:t>
      </w:r>
      <w:bookmarkStart w:id="1" w:name="_GoBack"/>
      <w:bookmarkEnd w:id="1"/>
      <w:r w:rsidRPr="00F31CC9">
        <w:rPr>
          <w:rFonts w:cs="Times New Roman"/>
        </w:rPr>
        <w:t xml:space="preserve"> элементарных математических представлений у детей старшего дошкольного возраста посредством дуг Эйлера</w:t>
      </w:r>
      <w:bookmarkEnd w:id="0"/>
      <w:r>
        <w:rPr>
          <w:rFonts w:cs="Times New Roman"/>
        </w:rPr>
        <w:t>»</w:t>
      </w:r>
    </w:p>
    <w:p w:rsidR="000F06FA" w:rsidRDefault="000F06FA" w:rsidP="008D7D48">
      <w:pPr>
        <w:spacing w:line="240" w:lineRule="auto"/>
        <w:rPr>
          <w:color w:val="000000"/>
        </w:rPr>
      </w:pPr>
    </w:p>
    <w:p w:rsidR="004A5E4C" w:rsidRPr="000F06FA" w:rsidRDefault="00C45C24" w:rsidP="004A5E4C">
      <w:r>
        <w:rPr>
          <w:color w:val="000000"/>
        </w:rPr>
        <w:t xml:space="preserve">1. </w:t>
      </w:r>
      <w:r w:rsidR="000F06FA">
        <w:rPr>
          <w:color w:val="000000"/>
        </w:rPr>
        <w:t xml:space="preserve">Круги Эйлера были изобретены Леонардом Эйлером в </w:t>
      </w:r>
      <w:r w:rsidR="008D7D48" w:rsidRPr="00296EE1">
        <w:rPr>
          <w:lang w:val="en-US"/>
        </w:rPr>
        <w:t>XVIII</w:t>
      </w:r>
      <w:r w:rsidR="008D7D48" w:rsidRPr="00296EE1">
        <w:t xml:space="preserve"> веке и с тех пор широко используются в математике, логике и в различных прикладных направлениях.  Круги Эйлера  – это схемы, которые позволяют изобразить наглядно отношения между подмножествами и пересечение, и объединение множеств. </w:t>
      </w:r>
      <w:r w:rsidR="004A5E4C">
        <w:t xml:space="preserve">Данные модели </w:t>
      </w:r>
      <w:r w:rsidR="004A5E4C" w:rsidRPr="00165D4B">
        <w:t>просты и наглядны</w:t>
      </w:r>
      <w:r w:rsidR="004A5E4C">
        <w:t xml:space="preserve">, поэтому их можно использовать для работы со старшими дошкольниками как средства развития логического мышления, рассуждения. </w:t>
      </w:r>
    </w:p>
    <w:p w:rsidR="00C45C24" w:rsidRDefault="00C45C24" w:rsidP="00C45C24">
      <w:r>
        <w:t xml:space="preserve">2. </w:t>
      </w:r>
      <w:r w:rsidRPr="009F47D5">
        <w:t>Работа по обучению разделения на множества и подмножества должна идти в несколько этапов, с постепенным усложнением.</w:t>
      </w:r>
    </w:p>
    <w:p w:rsidR="00C45C24" w:rsidRPr="007030A4" w:rsidRDefault="007030A4" w:rsidP="007030A4">
      <w:pPr>
        <w:rPr>
          <w:iCs/>
        </w:rPr>
      </w:pPr>
      <w:r>
        <w:t xml:space="preserve">Вначале взрослый объясняет ребёнку, что означает понятие </w:t>
      </w:r>
      <w:r w:rsidR="00C45C24" w:rsidRPr="009F47D5">
        <w:rPr>
          <w:iCs/>
        </w:rPr>
        <w:t xml:space="preserve">«положить в </w:t>
      </w:r>
      <w:r w:rsidR="00C45C24" w:rsidRPr="009F47D5">
        <w:rPr>
          <w:bCs/>
          <w:iCs/>
        </w:rPr>
        <w:t>круг</w:t>
      </w:r>
      <w:r w:rsidR="00C45C24" w:rsidRPr="009F47D5">
        <w:rPr>
          <w:iCs/>
        </w:rPr>
        <w:t>, обруч»</w:t>
      </w:r>
      <w:r w:rsidR="00C45C24" w:rsidRPr="009F47D5">
        <w:t xml:space="preserve">, и что такое </w:t>
      </w:r>
      <w:r w:rsidR="00C45C24" w:rsidRPr="009F47D5">
        <w:rPr>
          <w:iCs/>
        </w:rPr>
        <w:t xml:space="preserve">«положить предмет вне </w:t>
      </w:r>
      <w:r w:rsidR="00C45C24" w:rsidRPr="009F47D5">
        <w:rPr>
          <w:bCs/>
          <w:iCs/>
        </w:rPr>
        <w:t>круга</w:t>
      </w:r>
      <w:r w:rsidR="00C45C24" w:rsidRPr="009F47D5">
        <w:rPr>
          <w:iCs/>
        </w:rPr>
        <w:t>»</w:t>
      </w:r>
      <w:r>
        <w:rPr>
          <w:iCs/>
        </w:rPr>
        <w:t xml:space="preserve">, далее предметы распределяются </w:t>
      </w:r>
      <w:r w:rsidR="00C45C24" w:rsidRPr="009F47D5">
        <w:t xml:space="preserve">на 2 </w:t>
      </w:r>
      <w:r w:rsidR="00C45C24" w:rsidRPr="009F47D5">
        <w:rPr>
          <w:bCs/>
        </w:rPr>
        <w:t>круга</w:t>
      </w:r>
      <w:r w:rsidR="00C45C24" w:rsidRPr="009F47D5">
        <w:t>.</w:t>
      </w:r>
      <w:r>
        <w:t xml:space="preserve"> Так, можно предложить детям распределить по кругам картинки: в первый – только красные предметы, во второй – только игрушки. </w:t>
      </w:r>
    </w:p>
    <w:p w:rsidR="00C45C24" w:rsidRDefault="00C45C24" w:rsidP="00C45C24">
      <w:r>
        <w:t xml:space="preserve">3. </w:t>
      </w:r>
      <w:r w:rsidRPr="00165D4B">
        <w:t xml:space="preserve">Подавать задания для дошкольников надо в форме игры. </w:t>
      </w:r>
    </w:p>
    <w:p w:rsidR="008D7D48" w:rsidRDefault="008D7D48" w:rsidP="008D7D48">
      <w:r w:rsidRPr="00AC2445">
        <w:t>Рассмотрим возможное в</w:t>
      </w:r>
      <w:r>
        <w:t>заимное расположение этих кругов</w:t>
      </w:r>
      <w:r w:rsidRPr="00AC2445">
        <w:t>. Если ни один объект из первого множества не входит во второе множество, то кру</w:t>
      </w:r>
      <w:r>
        <w:t>ги будут непересекающимися (рисунок 1а</w:t>
      </w:r>
      <w:r w:rsidRPr="00AC2445">
        <w:t>). Такая ситуация возникнет, например, если в первом круге будут находиться живые объекты, а во втором – неживые. Когда какие-либо объекты входят и в первое множество, и во второе – круги будут пересекаться, и упомянутые объекты будут л</w:t>
      </w:r>
      <w:r>
        <w:t>ежать в пересечении кругов (рисунок 1</w:t>
      </w:r>
      <w:r w:rsidRPr="00AC2445">
        <w:t xml:space="preserve">б). Это возможно, например, если в первое множество входят все желтые предметы, а во второе – фрукты. Тогда в пересечении будут находиться бананы, желтые яблоки,… – все фрукты желтого цвета. Наконец, если все объекты первого множества входят и во второе множество, то модель будет </w:t>
      </w:r>
      <w:r w:rsidRPr="00AC2445">
        <w:lastRenderedPageBreak/>
        <w:t>представ</w:t>
      </w:r>
      <w:r>
        <w:t>лять собой вложенные круги (рисунок</w:t>
      </w:r>
      <w:r w:rsidRPr="00AC2445">
        <w:t xml:space="preserve"> 1в). Такая ситуация возможна, если, например, большой круг представляет собой всех животных, а маленький – домашних животных.</w:t>
      </w:r>
    </w:p>
    <w:p w:rsidR="008D7D48" w:rsidRDefault="008D7D48" w:rsidP="008D7D48">
      <w:pPr>
        <w:ind w:firstLine="0"/>
        <w:rPr>
          <w:b/>
          <w:bCs/>
        </w:rPr>
      </w:pPr>
      <w:r>
        <w:rPr>
          <w:noProof/>
          <w:szCs w:val="28"/>
          <w:lang w:eastAsia="ru-RU"/>
        </w:rPr>
        <w:drawing>
          <wp:inline distT="0" distB="0" distL="0" distR="0" wp14:anchorId="14E4EC3C" wp14:editId="2D47888C">
            <wp:extent cx="5934973" cy="143198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064" cy="1436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7D48" w:rsidRPr="004769AC" w:rsidRDefault="008D7D48" w:rsidP="008D7D48">
      <w:pPr>
        <w:spacing w:line="240" w:lineRule="auto"/>
        <w:ind w:firstLine="0"/>
        <w:jc w:val="center"/>
        <w:rPr>
          <w:sz w:val="24"/>
        </w:rPr>
      </w:pPr>
      <w:r w:rsidRPr="004769AC">
        <w:rPr>
          <w:sz w:val="24"/>
        </w:rPr>
        <w:t>Рис. 1 – а) Непересекающиеся круги; б) Пересекающиеся круги; в) Один круг вложен в другой</w:t>
      </w:r>
    </w:p>
    <w:p w:rsidR="008D7D48" w:rsidRDefault="008D7D48" w:rsidP="008D7D48">
      <w:pPr>
        <w:spacing w:line="240" w:lineRule="auto"/>
        <w:ind w:firstLine="0"/>
        <w:jc w:val="center"/>
      </w:pPr>
    </w:p>
    <w:p w:rsidR="008D7D48" w:rsidRDefault="00C45C24" w:rsidP="008D7D48">
      <w:r>
        <w:t xml:space="preserve">4. </w:t>
      </w:r>
      <w:r w:rsidR="008D7D48" w:rsidRPr="00AC2445">
        <w:t>Основное внимание уделяется моделированию классификационных отношений между понятиями, которые определяются с помощью вложенных или непересекающихся кругов. Дети учатся строить довольно сложные модели с несколькими кругами, вложенными в о</w:t>
      </w:r>
      <w:r w:rsidR="008D7D48">
        <w:t>дин (два уровня обобщения – рисунок</w:t>
      </w:r>
      <w:r w:rsidR="008D7D48" w:rsidRPr="00AC2445">
        <w:t xml:space="preserve"> 2(а)), или даже с несколькими кругами, вложенными один в другой (три и более уровня обобщения – </w:t>
      </w:r>
      <w:r w:rsidR="008D7D48">
        <w:t>рисунок</w:t>
      </w:r>
      <w:r w:rsidR="008D7D48" w:rsidRPr="00AC2445">
        <w:t xml:space="preserve"> 2(б)).</w:t>
      </w:r>
    </w:p>
    <w:p w:rsidR="008D7D48" w:rsidRPr="00AC2445" w:rsidRDefault="008D7D48" w:rsidP="008D7D48">
      <w:pPr>
        <w:spacing w:before="100" w:beforeAutospacing="1" w:after="100" w:afterAutospacing="1" w:line="240" w:lineRule="auto"/>
        <w:ind w:firstLine="0"/>
        <w:jc w:val="center"/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39B6A8C1" wp14:editId="2F74CC4E">
            <wp:extent cx="3640376" cy="173390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6334" cy="173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D48" w:rsidRPr="004769AC" w:rsidRDefault="008D7D48" w:rsidP="008D7D48">
      <w:pPr>
        <w:spacing w:line="240" w:lineRule="auto"/>
        <w:ind w:firstLine="0"/>
        <w:jc w:val="center"/>
        <w:rPr>
          <w:color w:val="000000" w:themeColor="text1"/>
          <w:sz w:val="24"/>
        </w:rPr>
      </w:pPr>
      <w:proofErr w:type="gramStart"/>
      <w:r w:rsidRPr="004769AC">
        <w:rPr>
          <w:color w:val="000000" w:themeColor="text1"/>
          <w:sz w:val="24"/>
        </w:rPr>
        <w:t>Рис.  2 – а) Желтый круг – транспорт, голубые круги – наземный, водный и воздушный транспорт; б) Желтый круг – животные, голубые круги – домашние и дикие животные, зеленые круги – травоядные и хищные животные</w:t>
      </w:r>
      <w:proofErr w:type="gramEnd"/>
    </w:p>
    <w:p w:rsidR="008D7D48" w:rsidRDefault="008D7D48" w:rsidP="008D7D48"/>
    <w:p w:rsidR="008D7D48" w:rsidRDefault="00C45C24" w:rsidP="008D7D48">
      <w:r>
        <w:t xml:space="preserve">5. </w:t>
      </w:r>
      <w:r w:rsidR="008D7D48" w:rsidRPr="007D036B">
        <w:t>Разбиение множества фигур на классы эквивалентности можно смоделировать с помощью следующей игры с тремя</w:t>
      </w:r>
      <w:r w:rsidR="008D7D48">
        <w:t xml:space="preserve"> дугами (рисунок 3)</w:t>
      </w:r>
      <w:r w:rsidR="008D7D48" w:rsidRPr="007D036B">
        <w:t>.</w:t>
      </w:r>
    </w:p>
    <w:p w:rsidR="008D7D48" w:rsidRDefault="008D7D48" w:rsidP="008D7D48">
      <w:pPr>
        <w:ind w:firstLine="0"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4ACC1007" wp14:editId="118FC18D">
                <wp:extent cx="301625" cy="301625"/>
                <wp:effectExtent l="0" t="0" r="0" b="0"/>
                <wp:docPr id="8" name="Прямоугольник 8" descr="https://im0-tub-ru.yandex.net/i?id=20e3c34f23f51741898222aeae0d40db-l&amp;n=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https://im0-tub-ru.yandex.net/i?id=20e3c34f23f51741898222aeae0d40db-l&amp;n=13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300EC01" wp14:editId="656ABB87">
            <wp:extent cx="3502325" cy="2794959"/>
            <wp:effectExtent l="0" t="0" r="3175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916" cy="2807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D48" w:rsidRPr="004769AC" w:rsidRDefault="008D7D48" w:rsidP="008D7D48">
      <w:pPr>
        <w:spacing w:line="240" w:lineRule="auto"/>
        <w:ind w:firstLine="0"/>
        <w:jc w:val="center"/>
        <w:rPr>
          <w:sz w:val="24"/>
        </w:rPr>
      </w:pPr>
      <w:r w:rsidRPr="004769AC">
        <w:rPr>
          <w:sz w:val="24"/>
        </w:rPr>
        <w:t>Рис. 3 – Игра на разбиение множества фигур на классы эквивалентности</w:t>
      </w:r>
    </w:p>
    <w:p w:rsidR="008D7D48" w:rsidRDefault="008D7D48" w:rsidP="008D7D48">
      <w:pPr>
        <w:spacing w:line="240" w:lineRule="auto"/>
      </w:pPr>
    </w:p>
    <w:p w:rsidR="008D7D48" w:rsidRPr="007D036B" w:rsidRDefault="008D7D48" w:rsidP="008D7D48">
      <w:r w:rsidRPr="007D036B">
        <w:t>В</w:t>
      </w:r>
      <w:r w:rsidR="00C45C24">
        <w:t>о</w:t>
      </w:r>
      <w:r w:rsidRPr="007D036B">
        <w:t xml:space="preserve"> множестве всех блоков введем отношение </w:t>
      </w:r>
      <w:r w:rsidRPr="00017502">
        <w:rPr>
          <w:iCs/>
        </w:rPr>
        <w:t xml:space="preserve">иметь один цвет </w:t>
      </w:r>
      <w:r w:rsidRPr="00017502">
        <w:t xml:space="preserve">(или </w:t>
      </w:r>
      <w:r w:rsidRPr="00017502">
        <w:rPr>
          <w:iCs/>
        </w:rPr>
        <w:t xml:space="preserve">быть одного цвета). </w:t>
      </w:r>
      <w:r>
        <w:rPr>
          <w:iCs/>
        </w:rPr>
        <w:t>М</w:t>
      </w:r>
      <w:r w:rsidRPr="007D036B">
        <w:t xml:space="preserve">ножества всех блоков на классы эквивалентности по отношению </w:t>
      </w:r>
      <w:r w:rsidRPr="00017502">
        <w:rPr>
          <w:iCs/>
        </w:rPr>
        <w:t>быть одного цвета</w:t>
      </w:r>
      <w:r w:rsidRPr="007D036B">
        <w:rPr>
          <w:i/>
          <w:iCs/>
        </w:rPr>
        <w:t xml:space="preserve"> </w:t>
      </w:r>
      <w:r w:rsidRPr="007D036B">
        <w:t xml:space="preserve">(области (1), (2), (3), (4) оказываются пустыми, так как нет трехцветного или двухцветного блока, область (8) пуста, так как блоков другого цвета, кроме красного, синего или желтого, нет). Нетрудно убедиться в том, </w:t>
      </w:r>
      <w:r>
        <w:t xml:space="preserve">что удовлетворяются условия (1) – </w:t>
      </w:r>
      <w:r w:rsidRPr="007D036B">
        <w:t>(3) правильного разбиения: 1) ни один из классов (красных, синих, желтых) блоков не пуст; 2) эти классы попарно не пересекаются; 3) их объединение равно множеству всех блоков.</w:t>
      </w:r>
    </w:p>
    <w:p w:rsidR="008D7D48" w:rsidRPr="007D036B" w:rsidRDefault="008D7D48" w:rsidP="008D7D48">
      <w:r w:rsidRPr="007D036B">
        <w:t xml:space="preserve">Таким же путем, т.е. с помощью отношения </w:t>
      </w:r>
      <w:r w:rsidRPr="00017502">
        <w:rPr>
          <w:iCs/>
        </w:rPr>
        <w:t>быть одного цвета,</w:t>
      </w:r>
      <w:r w:rsidRPr="007D036B">
        <w:rPr>
          <w:i/>
          <w:iCs/>
        </w:rPr>
        <w:t xml:space="preserve"> </w:t>
      </w:r>
      <w:r w:rsidRPr="007D036B">
        <w:t>формируется и само представление о цвете как о классе, объединяющем все предметы одного цвета, скажем все красные предметы.</w:t>
      </w:r>
    </w:p>
    <w:p w:rsidR="008D7D48" w:rsidRPr="007D036B" w:rsidRDefault="00C45C24" w:rsidP="008D7D48">
      <w:r>
        <w:t xml:space="preserve">6. </w:t>
      </w:r>
      <w:r w:rsidR="008D7D48" w:rsidRPr="007D036B">
        <w:t xml:space="preserve">Аналогично формируется и представление об определенной форме предметов. С помощью отношения </w:t>
      </w:r>
      <w:r w:rsidR="008D7D48" w:rsidRPr="00017502">
        <w:rPr>
          <w:iCs/>
        </w:rPr>
        <w:t>иметь одну форму</w:t>
      </w:r>
      <w:r w:rsidR="008D7D48" w:rsidRPr="007D036B">
        <w:rPr>
          <w:i/>
          <w:iCs/>
        </w:rPr>
        <w:t xml:space="preserve"> </w:t>
      </w:r>
      <w:r w:rsidR="008D7D48" w:rsidRPr="007D036B">
        <w:t>мы</w:t>
      </w:r>
      <w:r w:rsidR="008D7D48">
        <w:t xml:space="preserve"> </w:t>
      </w:r>
      <w:r w:rsidR="008D7D48" w:rsidRPr="007D036B">
        <w:t>получаем разбиение всех блоков (или фигур) на четыре класса эквивалентности такое, что любые два блока (или две фигуры), принадлежащие одному классу, обладают одной и той же формой, любые же два блока (или две фигуры) различных классов обладают различной формой. Сама фор</w:t>
      </w:r>
      <w:r w:rsidR="008D7D48">
        <w:t>ма выступает здесь как класс эк</w:t>
      </w:r>
      <w:r w:rsidR="008D7D48" w:rsidRPr="007D036B">
        <w:t xml:space="preserve">вивалентности. Так, впоследствии, например, формируются представления о </w:t>
      </w:r>
      <w:r w:rsidR="008D7D48" w:rsidRPr="007D036B">
        <w:lastRenderedPageBreak/>
        <w:t xml:space="preserve">круге, квадрате, треугольнике, прямоугольнике и других геометрических </w:t>
      </w:r>
      <w:proofErr w:type="gramStart"/>
      <w:r w:rsidR="008D7D48" w:rsidRPr="007D036B">
        <w:t>фигурах</w:t>
      </w:r>
      <w:proofErr w:type="gramEnd"/>
      <w:r w:rsidR="008D7D48" w:rsidRPr="007D036B">
        <w:t xml:space="preserve"> как на плоскости, так и в пространстве.</w:t>
      </w:r>
    </w:p>
    <w:p w:rsidR="008D7D48" w:rsidRPr="007D036B" w:rsidRDefault="008D7D48" w:rsidP="008D7D48">
      <w:r w:rsidRPr="007D036B">
        <w:t xml:space="preserve">Эти примеры показывают, с одной стороны, что отношения эквивалентности являются базой для формирования новых понятий и для классифицирующей деятельности, с другой </w:t>
      </w:r>
      <w:r>
        <w:t xml:space="preserve">– </w:t>
      </w:r>
      <w:r w:rsidRPr="007D036B">
        <w:t>что рассмотренные дидактические игры обучают этой деятельности.</w:t>
      </w:r>
    </w:p>
    <w:p w:rsidR="008D7D48" w:rsidRPr="007972CB" w:rsidRDefault="00C45C24" w:rsidP="008D7D48">
      <w:r>
        <w:t xml:space="preserve">7. </w:t>
      </w:r>
      <w:r w:rsidR="008D7D48">
        <w:t>Для игр с кругами</w:t>
      </w:r>
      <w:r w:rsidR="008D7D48" w:rsidRPr="007972CB">
        <w:t xml:space="preserve"> Эйлера</w:t>
      </w:r>
      <w:r w:rsidR="008D7D48">
        <w:t xml:space="preserve"> можно </w:t>
      </w:r>
      <w:r w:rsidR="008D7D48" w:rsidRPr="007972CB">
        <w:t xml:space="preserve"> использ</w:t>
      </w:r>
      <w:r w:rsidR="008D7D48">
        <w:t xml:space="preserve">овать </w:t>
      </w:r>
      <w:r w:rsidR="008D7D48" w:rsidRPr="007972CB">
        <w:t>как различные картинк</w:t>
      </w:r>
      <w:r w:rsidR="008D7D48">
        <w:t>и, так и такой игровой материал, к</w:t>
      </w:r>
      <w:r w:rsidR="008D7D48" w:rsidRPr="007972CB">
        <w:t xml:space="preserve">ак блоки </w:t>
      </w:r>
      <w:proofErr w:type="spellStart"/>
      <w:r w:rsidR="008D7D48" w:rsidRPr="007972CB">
        <w:t>Дьенеша</w:t>
      </w:r>
      <w:proofErr w:type="spellEnd"/>
      <w:r w:rsidR="008D7D48" w:rsidRPr="007972CB">
        <w:t>.</w:t>
      </w:r>
    </w:p>
    <w:p w:rsidR="00C45C24" w:rsidRDefault="008D7D48" w:rsidP="008D7D48">
      <w:r w:rsidRPr="007972CB">
        <w:t xml:space="preserve">Для игры с одним </w:t>
      </w:r>
      <w:r>
        <w:t xml:space="preserve">кругом </w:t>
      </w:r>
      <w:r w:rsidRPr="007972CB">
        <w:t xml:space="preserve">нужно подготовить логические блоки и </w:t>
      </w:r>
      <w:r>
        <w:t>круг</w:t>
      </w:r>
      <w:r w:rsidRPr="007972CB">
        <w:t>. Далее предложите ребенку поместить внутрь обруча только блоки желтого цвета, а вне обруча расположить остальные блоки. Для закрепления информации можно задать следующие вопросы: Какой мат</w:t>
      </w:r>
      <w:r>
        <w:t>ериал находится внутри круга</w:t>
      </w:r>
      <w:r w:rsidRPr="007972CB">
        <w:t xml:space="preserve">? (Желтые). Какие блоки расположены вне </w:t>
      </w:r>
      <w:r>
        <w:t>круга</w:t>
      </w:r>
      <w:r w:rsidRPr="007972CB">
        <w:t xml:space="preserve">? (Не желтые). В процессе игры предоставьте малышу возможность самостоятельно выбирать основной цвет логических блоков. </w:t>
      </w:r>
    </w:p>
    <w:p w:rsidR="00C45C24" w:rsidRDefault="008D7D48" w:rsidP="008D7D48">
      <w:r w:rsidRPr="007972CB">
        <w:t xml:space="preserve">Для игры с двумя </w:t>
      </w:r>
      <w:r>
        <w:t xml:space="preserve">кругами </w:t>
      </w:r>
      <w:r w:rsidRPr="007972CB">
        <w:t>при</w:t>
      </w:r>
      <w:r>
        <w:t>готовьте логические блоки и круги</w:t>
      </w:r>
      <w:r w:rsidRPr="007972CB">
        <w:t>, отличающиеся цветом красный и синий. Разместите на твердой поверхности обручи, чтобы они имел</w:t>
      </w:r>
      <w:r>
        <w:t>и общую часть после пересечения.</w:t>
      </w:r>
      <w:r w:rsidRPr="007972CB">
        <w:t xml:space="preserve"> Далее предложите ребенку встать в различные зоны </w:t>
      </w:r>
      <w:r>
        <w:t>круга</w:t>
      </w:r>
      <w:r w:rsidRPr="007972CB">
        <w:t>, при этом проговариваются слова: внутри и вне</w:t>
      </w:r>
      <w:r>
        <w:t xml:space="preserve"> круга</w:t>
      </w:r>
      <w:r w:rsidRPr="007972CB">
        <w:t>. Например, встань внутрь красного</w:t>
      </w:r>
      <w:r>
        <w:t xml:space="preserve"> круга,</w:t>
      </w:r>
      <w:r w:rsidRPr="007972CB">
        <w:t xml:space="preserve"> но вне синего </w:t>
      </w:r>
      <w:r>
        <w:t>круга</w:t>
      </w:r>
      <w:r w:rsidRPr="007972CB">
        <w:t xml:space="preserve"> или встань внутри обоих</w:t>
      </w:r>
      <w:r>
        <w:t xml:space="preserve"> кругов. Потом ребёнок</w:t>
      </w:r>
      <w:r w:rsidRPr="007972CB">
        <w:t xml:space="preserve"> располагает логические блоки внутри двух</w:t>
      </w:r>
      <w:r>
        <w:t xml:space="preserve"> кругов</w:t>
      </w:r>
      <w:r w:rsidRPr="007972CB">
        <w:t xml:space="preserve">. Например, внутри красного </w:t>
      </w:r>
      <w:r>
        <w:t>круга</w:t>
      </w:r>
      <w:r w:rsidRPr="007972CB">
        <w:t xml:space="preserve"> необходимо поместить все синие блоки, а внутри желтого – блоки круглой формы. </w:t>
      </w:r>
    </w:p>
    <w:p w:rsidR="008D7D48" w:rsidRPr="007972CB" w:rsidRDefault="008D7D48" w:rsidP="008D7D48">
      <w:r w:rsidRPr="007972CB">
        <w:t xml:space="preserve">Следует отметить, что в данной игре блоки определяются по двум основным признакам: цвет и форма. Более сложным уровнем отличается игра с тремя обручами. В данной игре малыши выполняют сортировку блоков по трем признакам. Для игры необходимо расположить </w:t>
      </w:r>
      <w:r>
        <w:t>круги</w:t>
      </w:r>
      <w:r w:rsidRPr="007972CB">
        <w:t xml:space="preserve"> так, чтобы получилось восемь областей. Далее </w:t>
      </w:r>
      <w:r>
        <w:t xml:space="preserve">можно </w:t>
      </w:r>
      <w:r w:rsidRPr="007972CB">
        <w:t>наз</w:t>
      </w:r>
      <w:r>
        <w:t>вать</w:t>
      </w:r>
      <w:r w:rsidRPr="007972CB">
        <w:t xml:space="preserve"> данные области по отношению к</w:t>
      </w:r>
      <w:r>
        <w:t xml:space="preserve"> кругам</w:t>
      </w:r>
      <w:r w:rsidRPr="007972CB">
        <w:t xml:space="preserve">, отличающиеся цветом. Например, внутри зеленого и красного </w:t>
      </w:r>
      <w:r>
        <w:t>круга</w:t>
      </w:r>
      <w:r w:rsidRPr="007972CB">
        <w:t xml:space="preserve">, но вне фиолетового обруча или внутри трех </w:t>
      </w:r>
      <w:r>
        <w:t>кругов</w:t>
      </w:r>
      <w:r w:rsidRPr="007972CB">
        <w:t xml:space="preserve">. После ознакомления с областями </w:t>
      </w:r>
      <w:r w:rsidRPr="007972CB">
        <w:lastRenderedPageBreak/>
        <w:t xml:space="preserve">взрослые предлагают ребенку расположить в </w:t>
      </w:r>
      <w:r>
        <w:t xml:space="preserve">кругах </w:t>
      </w:r>
      <w:r w:rsidRPr="007972CB">
        <w:t xml:space="preserve">предметы: внутри обруча красного цвета поместить блоки квадратной формы, внутри обруча фиолетового цвета – блоки большого размера, а внутри зеленого – блоки в желтом исполнении. </w:t>
      </w:r>
      <w:r w:rsidRPr="005B093A">
        <w:t>В игре с тремя обручами моделируется разбиение множества на восемь классов (попарно непересекающихся подмножеств) с по</w:t>
      </w:r>
      <w:r>
        <w:t>мощью трех свойств (быть желтым</w:t>
      </w:r>
      <w:r w:rsidRPr="005B093A">
        <w:t>, быть квадратным, быть большим).</w:t>
      </w:r>
      <w:r w:rsidRPr="007972CB">
        <w:t xml:space="preserve"> </w:t>
      </w:r>
    </w:p>
    <w:p w:rsidR="008D7D48" w:rsidRPr="006A3869" w:rsidRDefault="00C45C24" w:rsidP="008D7D48">
      <w:pPr>
        <w:rPr>
          <w:szCs w:val="28"/>
        </w:rPr>
      </w:pPr>
      <w:r>
        <w:rPr>
          <w:szCs w:val="28"/>
        </w:rPr>
        <w:t xml:space="preserve">8. </w:t>
      </w:r>
      <w:r w:rsidR="008D7D48" w:rsidRPr="006A3869">
        <w:rPr>
          <w:szCs w:val="28"/>
        </w:rPr>
        <w:t xml:space="preserve">Для закрепления и повторения материала </w:t>
      </w:r>
      <w:r w:rsidR="008D7D48">
        <w:rPr>
          <w:szCs w:val="28"/>
        </w:rPr>
        <w:t xml:space="preserve">нужно </w:t>
      </w:r>
      <w:r w:rsidR="008D7D48" w:rsidRPr="006A3869">
        <w:rPr>
          <w:szCs w:val="28"/>
        </w:rPr>
        <w:t>зада</w:t>
      </w:r>
      <w:r w:rsidR="008D7D48">
        <w:rPr>
          <w:szCs w:val="28"/>
        </w:rPr>
        <w:t>ть</w:t>
      </w:r>
      <w:r w:rsidR="008D7D48" w:rsidRPr="006A3869">
        <w:rPr>
          <w:szCs w:val="28"/>
        </w:rPr>
        <w:t xml:space="preserve"> </w:t>
      </w:r>
      <w:r w:rsidR="008D7D48">
        <w:rPr>
          <w:szCs w:val="28"/>
        </w:rPr>
        <w:t xml:space="preserve">детям </w:t>
      </w:r>
      <w:r w:rsidR="008D7D48" w:rsidRPr="006A3869">
        <w:rPr>
          <w:szCs w:val="28"/>
        </w:rPr>
        <w:t>дополнительные вопросы по расположению материала внутри</w:t>
      </w:r>
      <w:r w:rsidR="008D7D48">
        <w:rPr>
          <w:szCs w:val="28"/>
        </w:rPr>
        <w:t xml:space="preserve"> кругов</w:t>
      </w:r>
      <w:r w:rsidR="008D7D48" w:rsidRPr="006A3869">
        <w:rPr>
          <w:szCs w:val="28"/>
        </w:rPr>
        <w:t xml:space="preserve">. Игры с </w:t>
      </w:r>
      <w:r w:rsidR="008D7D48">
        <w:rPr>
          <w:szCs w:val="28"/>
        </w:rPr>
        <w:t xml:space="preserve">кругами </w:t>
      </w:r>
      <w:r w:rsidR="008D7D48" w:rsidRPr="006A3869">
        <w:rPr>
          <w:szCs w:val="28"/>
        </w:rPr>
        <w:t>помогают малышам развивать внимание, память, образное мышление, а также обучают операциям синтеза и анализа.</w:t>
      </w:r>
    </w:p>
    <w:p w:rsidR="000E525E" w:rsidRDefault="000E525E"/>
    <w:p w:rsidR="00C45C24" w:rsidRDefault="00C45C24"/>
    <w:p w:rsidR="00C45C24" w:rsidRDefault="00C45C24" w:rsidP="00C45C24"/>
    <w:p w:rsidR="00C45C24" w:rsidRDefault="00C45C24" w:rsidP="00C45C24"/>
    <w:p w:rsidR="00C45C24" w:rsidRDefault="00C45C24"/>
    <w:sectPr w:rsidR="00C45C24" w:rsidSect="000F06FA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E0BA1"/>
    <w:multiLevelType w:val="multilevel"/>
    <w:tmpl w:val="7E08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491754"/>
    <w:multiLevelType w:val="hybridMultilevel"/>
    <w:tmpl w:val="34C83032"/>
    <w:lvl w:ilvl="0" w:tplc="16168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A10"/>
    <w:rsid w:val="000E525E"/>
    <w:rsid w:val="000F06FA"/>
    <w:rsid w:val="004A5E4C"/>
    <w:rsid w:val="007030A4"/>
    <w:rsid w:val="008D7D48"/>
    <w:rsid w:val="00A11F71"/>
    <w:rsid w:val="00C45C24"/>
    <w:rsid w:val="00CF7A10"/>
    <w:rsid w:val="00F70F1C"/>
    <w:rsid w:val="00FC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FA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8D7D48"/>
    <w:pPr>
      <w:keepNext/>
      <w:spacing w:before="240" w:after="60"/>
      <w:jc w:val="center"/>
      <w:outlineLvl w:val="1"/>
    </w:pPr>
    <w:rPr>
      <w:rFonts w:eastAsia="Times New Roman" w:cs="Arial"/>
      <w:b/>
      <w:bCs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D7D48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8D7D48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4">
    <w:name w:val="List Paragraph"/>
    <w:aliases w:val="Образец"/>
    <w:basedOn w:val="a"/>
    <w:link w:val="a5"/>
    <w:uiPriority w:val="34"/>
    <w:qFormat/>
    <w:rsid w:val="008D7D48"/>
    <w:pPr>
      <w:ind w:left="720"/>
      <w:contextualSpacing/>
    </w:pPr>
    <w:rPr>
      <w:rFonts w:eastAsia="Times New Roman"/>
      <w:szCs w:val="24"/>
      <w:lang w:eastAsia="ru-RU"/>
    </w:rPr>
  </w:style>
  <w:style w:type="character" w:customStyle="1" w:styleId="a5">
    <w:name w:val="Абзац списка Знак"/>
    <w:aliases w:val="Образец Знак"/>
    <w:basedOn w:val="a0"/>
    <w:link w:val="a4"/>
    <w:uiPriority w:val="34"/>
    <w:rsid w:val="008D7D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7D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7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FA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8D7D48"/>
    <w:pPr>
      <w:keepNext/>
      <w:spacing w:before="240" w:after="60"/>
      <w:jc w:val="center"/>
      <w:outlineLvl w:val="1"/>
    </w:pPr>
    <w:rPr>
      <w:rFonts w:eastAsia="Times New Roman" w:cs="Arial"/>
      <w:b/>
      <w:bCs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D7D48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8D7D48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4">
    <w:name w:val="List Paragraph"/>
    <w:aliases w:val="Образец"/>
    <w:basedOn w:val="a"/>
    <w:link w:val="a5"/>
    <w:uiPriority w:val="34"/>
    <w:qFormat/>
    <w:rsid w:val="008D7D48"/>
    <w:pPr>
      <w:ind w:left="720"/>
      <w:contextualSpacing/>
    </w:pPr>
    <w:rPr>
      <w:rFonts w:eastAsia="Times New Roman"/>
      <w:szCs w:val="24"/>
      <w:lang w:eastAsia="ru-RU"/>
    </w:rPr>
  </w:style>
  <w:style w:type="character" w:customStyle="1" w:styleId="a5">
    <w:name w:val="Абзац списка Знак"/>
    <w:aliases w:val="Образец Знак"/>
    <w:basedOn w:val="a0"/>
    <w:link w:val="a4"/>
    <w:uiPriority w:val="34"/>
    <w:rsid w:val="008D7D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7D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7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компьютер 9</cp:lastModifiedBy>
  <cp:revision>4</cp:revision>
  <dcterms:created xsi:type="dcterms:W3CDTF">2019-07-17T06:53:00Z</dcterms:created>
  <dcterms:modified xsi:type="dcterms:W3CDTF">2019-07-24T07:53:00Z</dcterms:modified>
</cp:coreProperties>
</file>