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3F" w:rsidRDefault="00790A3F" w:rsidP="00790A3F">
      <w:pPr>
        <w:autoSpaceDE w:val="0"/>
        <w:spacing w:line="360" w:lineRule="auto"/>
        <w:jc w:val="center"/>
        <w:rPr>
          <w:rFonts w:eastAsia="Times New Roman CYR" w:cs="Times New Roman CYR"/>
          <w:b/>
          <w:bCs/>
          <w:color w:val="000000"/>
          <w:sz w:val="28"/>
          <w:szCs w:val="28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</w:rPr>
        <w:t>Понятие и виды психологической готовности ребенка</w:t>
      </w:r>
    </w:p>
    <w:p w:rsidR="00790A3F" w:rsidRDefault="00790A3F" w:rsidP="00790A3F">
      <w:pPr>
        <w:autoSpaceDE w:val="0"/>
        <w:spacing w:line="360" w:lineRule="auto"/>
        <w:jc w:val="center"/>
        <w:rPr>
          <w:rFonts w:eastAsia="Times New Roman CYR" w:cs="Times New Roman CYR"/>
          <w:b/>
          <w:bCs/>
          <w:color w:val="000000"/>
          <w:sz w:val="28"/>
          <w:szCs w:val="28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</w:rPr>
        <w:t>к школьному обучению.</w:t>
      </w:r>
    </w:p>
    <w:p w:rsidR="00790A3F" w:rsidRDefault="00790A3F" w:rsidP="00790A3F">
      <w:pPr>
        <w:autoSpaceDE w:val="0"/>
        <w:spacing w:line="360" w:lineRule="auto"/>
        <w:ind w:firstLine="555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В периодизации психического развития ребенка, которой мы следуем, дошкольный возраст имеет определенные границы</w:t>
      </w:r>
      <w:r>
        <w:rPr>
          <w:rFonts w:eastAsia="Times New Roman CYR" w:cs="Times New Roman"/>
          <w:bCs/>
          <w:color w:val="000000"/>
          <w:sz w:val="28"/>
          <w:szCs w:val="28"/>
          <w:lang w:val="ru-RU"/>
        </w:rPr>
        <w:t xml:space="preserve"> —</w:t>
      </w:r>
      <w:r>
        <w:rPr>
          <w:rFonts w:eastAsia="Times New Roman CYR" w:cs="Times New Roman"/>
          <w:bCs/>
          <w:color w:val="000000"/>
          <w:sz w:val="28"/>
          <w:szCs w:val="28"/>
        </w:rPr>
        <w:t xml:space="preserve"> от </w:t>
      </w:r>
      <w:r>
        <w:rPr>
          <w:rFonts w:eastAsia="Times New Roman CYR" w:cs="Times New Roman"/>
          <w:bCs/>
          <w:color w:val="000000"/>
          <w:sz w:val="28"/>
          <w:szCs w:val="28"/>
          <w:lang w:val="ru-RU"/>
        </w:rPr>
        <w:t>3</w:t>
      </w:r>
      <w:r>
        <w:rPr>
          <w:rFonts w:eastAsia="Times New Roman CYR" w:cs="Times New Roman"/>
          <w:bCs/>
          <w:color w:val="000000"/>
          <w:sz w:val="28"/>
          <w:szCs w:val="28"/>
        </w:rPr>
        <w:t xml:space="preserve"> до</w:t>
      </w:r>
      <w:r>
        <w:rPr>
          <w:rFonts w:eastAsia="Times New Roman CYR" w:cs="Times New Roman"/>
          <w:bCs/>
          <w:color w:val="000000"/>
          <w:sz w:val="28"/>
          <w:szCs w:val="28"/>
          <w:lang w:val="ru-RU"/>
        </w:rPr>
        <w:t xml:space="preserve"> 7</w:t>
      </w:r>
      <w:r>
        <w:rPr>
          <w:rFonts w:eastAsia="Times New Roman CYR" w:cs="Times New Roman"/>
          <w:bCs/>
          <w:color w:val="000000"/>
          <w:sz w:val="28"/>
          <w:szCs w:val="28"/>
        </w:rPr>
        <w:t xml:space="preserve"> лет. Кризис</w:t>
      </w:r>
      <w:r>
        <w:rPr>
          <w:rFonts w:eastAsia="Times New Roman CYR" w:cs="Times New Roman"/>
          <w:bCs/>
          <w:color w:val="000000"/>
          <w:sz w:val="28"/>
          <w:szCs w:val="28"/>
          <w:lang w:val="ru-RU"/>
        </w:rPr>
        <w:t xml:space="preserve"> 7</w:t>
      </w:r>
      <w:r>
        <w:rPr>
          <w:rFonts w:eastAsia="Times New Roman CYR" w:cs="Times New Roman"/>
          <w:bCs/>
          <w:color w:val="000000"/>
          <w:sz w:val="28"/>
          <w:szCs w:val="28"/>
        </w:rPr>
        <w:t xml:space="preserve"> лет является переходным периодом и отделяет младший школьный возраст от дошкольного детства. Тем не менее, по наблюдениям выявлено, что сейчас многие дети поступают в школу и включаются в учебную деятельность уже с</w:t>
      </w:r>
      <w:r>
        <w:rPr>
          <w:rFonts w:eastAsia="Times New Roman CYR" w:cs="Times New Roman"/>
          <w:bCs/>
          <w:color w:val="000000"/>
          <w:sz w:val="28"/>
          <w:szCs w:val="28"/>
          <w:lang w:val="ru-RU"/>
        </w:rPr>
        <w:t xml:space="preserve"> 6</w:t>
      </w:r>
      <w:r>
        <w:rPr>
          <w:rFonts w:eastAsia="Times New Roman CYR" w:cs="Times New Roman"/>
          <w:bCs/>
          <w:color w:val="000000"/>
          <w:sz w:val="28"/>
          <w:szCs w:val="28"/>
        </w:rPr>
        <w:t xml:space="preserve"> лет. В связи с этим возникает много вопросов. Означает ли, что 6 – летний ребенок, поступивший в школу, перестает быть дошкольником, развивается быстрее? Полезно ли в этом возрасте включаться в школьное обучение и каким это </w:t>
      </w:r>
      <w:proofErr w:type="gramStart"/>
      <w:r>
        <w:rPr>
          <w:rFonts w:eastAsia="Times New Roman CYR" w:cs="Times New Roman"/>
          <w:bCs/>
          <w:color w:val="000000"/>
          <w:sz w:val="28"/>
          <w:szCs w:val="28"/>
        </w:rPr>
        <w:t>обучение</w:t>
      </w:r>
      <w:proofErr w:type="gramEnd"/>
      <w:r>
        <w:rPr>
          <w:rFonts w:eastAsia="Times New Roman CYR" w:cs="Times New Roman"/>
          <w:bCs/>
          <w:color w:val="000000"/>
          <w:sz w:val="28"/>
          <w:szCs w:val="28"/>
        </w:rPr>
        <w:t xml:space="preserve"> должно быть? Все ли дети могут начинать обучение в школе с</w:t>
      </w:r>
      <w:r>
        <w:rPr>
          <w:rFonts w:eastAsia="Times New Roman CYR" w:cs="Times New Roman"/>
          <w:bCs/>
          <w:color w:val="000000"/>
          <w:sz w:val="28"/>
          <w:szCs w:val="28"/>
          <w:lang w:val="ru-RU"/>
        </w:rPr>
        <w:t xml:space="preserve"> 6</w:t>
      </w:r>
      <w:r>
        <w:rPr>
          <w:rFonts w:eastAsia="Times New Roman CYR" w:cs="Times New Roman"/>
          <w:bCs/>
          <w:color w:val="000000"/>
          <w:sz w:val="28"/>
          <w:szCs w:val="28"/>
        </w:rPr>
        <w:t xml:space="preserve"> лет?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Рассмотрим понятие и общие вопросы психологической готовности ребенка к школе.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  <w:r>
        <w:rPr>
          <w:rFonts w:eastAsia="Times New Roman CYR" w:cs="Times New Roman CYR"/>
          <w:bCs/>
          <w:color w:val="000000"/>
          <w:sz w:val="28"/>
          <w:szCs w:val="28"/>
        </w:rPr>
        <w:t>На сегодняшний день проблема готовности ребенка к школе является важнейшей в детской психологии. Предъявляемые требования к первокласснику с каждым годом растут. Поступление в школу считается для ребенка серьезным испытанием всех его качеств. Поэтому необходимо организовать процесс перехода из детского сада в школу так, чтобы адаптация к школьному обучению не претерпевала значительные трудности.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ascii="Roboto-Regular" w:hAnsi="Roboto-Regular"/>
          <w:color w:val="000000"/>
          <w:sz w:val="28"/>
          <w:szCs w:val="28"/>
          <w:shd w:val="clear" w:color="auto" w:fill="FFFFFF"/>
        </w:rPr>
      </w:pPr>
      <w:r>
        <w:rPr>
          <w:rFonts w:eastAsia="Times New Roman CYR" w:cs="Times New Roman CYR"/>
          <w:bCs/>
          <w:color w:val="000000"/>
          <w:sz w:val="28"/>
          <w:szCs w:val="28"/>
        </w:rPr>
        <w:t xml:space="preserve">Психологическая готовность к школе – это </w:t>
      </w:r>
      <w:r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необходимый и достаточный уровень психического развития ребенка для освоения школьной учебной программы в условиях обучения в группе сверстников. Это один из важнейших итогов психического развития в период дошкольного детства.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А.Н. Леонтьев предложил обозначить этим термином </w:t>
      </w:r>
      <w:r>
        <w:rPr>
          <w:color w:val="000000"/>
          <w:sz w:val="28"/>
          <w:szCs w:val="28"/>
          <w:shd w:val="clear" w:color="auto" w:fill="FFFFFF"/>
        </w:rPr>
        <w:t>способность ребенка успешно перейти от системы дошкольного к начальному школьному образованию. Наиболее существенным компонентом готовности к школе он считал способность управлять своим поведением.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А.В. Запорожец предложил свою трактовку понятию готовности к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школе: «... представляет собой целостную систему взаимосвязанных качеств детской личности, включая особенности ее мотивации, уровня развития познавательной,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аналитико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синтетической деятельности, степень сформированных механизмов волевой регуляции и т.д.» 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  <w:proofErr w:type="gramStart"/>
      <w:r>
        <w:rPr>
          <w:rFonts w:eastAsia="Times New Roman CYR" w:cs="Times New Roman CYR"/>
          <w:bCs/>
          <w:color w:val="000000"/>
          <w:sz w:val="28"/>
          <w:szCs w:val="28"/>
        </w:rPr>
        <w:t xml:space="preserve">Проблема психологической готовности к школе основана на работах Л.С. </w:t>
      </w:r>
      <w:proofErr w:type="spellStart"/>
      <w:r>
        <w:rPr>
          <w:rFonts w:eastAsia="Times New Roman CYR" w:cs="Times New Roman CYR"/>
          <w:bCs/>
          <w:color w:val="000000"/>
          <w:sz w:val="28"/>
          <w:szCs w:val="28"/>
        </w:rPr>
        <w:t>Выготского</w:t>
      </w:r>
      <w:proofErr w:type="spellEnd"/>
      <w:r>
        <w:rPr>
          <w:rFonts w:eastAsia="Times New Roman CYR" w:cs="Times New Roman CYR"/>
          <w:bCs/>
          <w:color w:val="000000"/>
          <w:sz w:val="28"/>
          <w:szCs w:val="28"/>
        </w:rPr>
        <w:t xml:space="preserve">, который сформулировал мысль о том, </w:t>
      </w:r>
      <w:r>
        <w:rPr>
          <w:rFonts w:eastAsia="Times New Roman CYR" w:cs="Times New Roman"/>
          <w:bCs/>
          <w:color w:val="000000"/>
          <w:sz w:val="28"/>
          <w:szCs w:val="28"/>
        </w:rPr>
        <w:t xml:space="preserve">что </w:t>
      </w:r>
      <w:r>
        <w:rPr>
          <w:rFonts w:cs="Times New Roman"/>
          <w:color w:val="000000"/>
          <w:sz w:val="28"/>
          <w:szCs w:val="28"/>
        </w:rPr>
        <w:t xml:space="preserve">готовность к школьному обучению в интеллектуальном отношении заключается в развитии у детей интеллектуальных процессов: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"...ребенок должен уметь выделять существенное в явлениях окружающей действительности, уметь сравнивать их, видеть сходное и отличное; он должен научиться рассуждать, находить причины явлений, делать выводы"</w:t>
      </w:r>
      <w:r>
        <w:rPr>
          <w:rFonts w:cs="Times New Roman"/>
          <w:color w:val="000000"/>
          <w:sz w:val="28"/>
          <w:szCs w:val="28"/>
        </w:rPr>
        <w:t>.</w:t>
      </w:r>
      <w:proofErr w:type="gramEnd"/>
      <w:r>
        <w:rPr>
          <w:rFonts w:eastAsia="Times New Roman CYR" w:cs="Times New Roman"/>
          <w:bCs/>
          <w:color w:val="000000"/>
          <w:sz w:val="28"/>
          <w:szCs w:val="28"/>
        </w:rPr>
        <w:t xml:space="preserve"> Положения касательно данного вопроса были</w:t>
      </w:r>
      <w:r>
        <w:rPr>
          <w:rFonts w:eastAsia="Times New Roman CYR" w:cs="Times New Roman CYR"/>
          <w:bCs/>
          <w:color w:val="000000"/>
          <w:sz w:val="28"/>
          <w:szCs w:val="28"/>
        </w:rPr>
        <w:t xml:space="preserve"> разработаны и его последователями: Д.Б. </w:t>
      </w:r>
      <w:proofErr w:type="spellStart"/>
      <w:r>
        <w:rPr>
          <w:rFonts w:eastAsia="Times New Roman CYR" w:cs="Times New Roman CYR"/>
          <w:bCs/>
          <w:color w:val="000000"/>
          <w:sz w:val="28"/>
          <w:szCs w:val="28"/>
        </w:rPr>
        <w:t>Элькониным</w:t>
      </w:r>
      <w:proofErr w:type="spellEnd"/>
      <w:r>
        <w:rPr>
          <w:rFonts w:eastAsia="Times New Roman CYR" w:cs="Times New Roman CYR"/>
          <w:bCs/>
          <w:color w:val="000000"/>
          <w:sz w:val="28"/>
          <w:szCs w:val="28"/>
        </w:rPr>
        <w:t xml:space="preserve"> и Л.И. </w:t>
      </w:r>
      <w:proofErr w:type="spellStart"/>
      <w:r>
        <w:rPr>
          <w:rFonts w:eastAsia="Times New Roman CYR" w:cs="Times New Roman CYR"/>
          <w:bCs/>
          <w:color w:val="000000"/>
          <w:sz w:val="28"/>
          <w:szCs w:val="28"/>
        </w:rPr>
        <w:t>Божович</w:t>
      </w:r>
      <w:proofErr w:type="spellEnd"/>
      <w:r>
        <w:rPr>
          <w:rFonts w:eastAsia="Times New Roman CYR" w:cs="Times New Roman CYR"/>
          <w:bCs/>
          <w:color w:val="000000"/>
          <w:sz w:val="28"/>
          <w:szCs w:val="28"/>
        </w:rPr>
        <w:t>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  <w:r>
        <w:rPr>
          <w:rFonts w:eastAsia="Times New Roman CYR" w:cs="Times New Roman CYR"/>
          <w:bCs/>
          <w:color w:val="000000"/>
          <w:sz w:val="28"/>
          <w:szCs w:val="28"/>
        </w:rPr>
        <w:t xml:space="preserve">Л.И. </w:t>
      </w:r>
      <w:proofErr w:type="spellStart"/>
      <w:r>
        <w:rPr>
          <w:rFonts w:eastAsia="Times New Roman CYR" w:cs="Times New Roman CYR"/>
          <w:bCs/>
          <w:color w:val="000000"/>
          <w:sz w:val="28"/>
          <w:szCs w:val="28"/>
        </w:rPr>
        <w:t>Божович</w:t>
      </w:r>
      <w:proofErr w:type="spellEnd"/>
      <w:r>
        <w:rPr>
          <w:rFonts w:eastAsia="Times New Roman CYR" w:cs="Times New Roman CYR"/>
          <w:bCs/>
          <w:color w:val="000000"/>
          <w:sz w:val="28"/>
          <w:szCs w:val="28"/>
        </w:rPr>
        <w:t xml:space="preserve"> основной упор делала на значении мотивационной сферы в формировании личности ребенка, то есть наиболее важным в психологической готовности к школе она признавала мотивационный план. При этом были выделены две группы мотивов: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  <w:r>
        <w:rPr>
          <w:rFonts w:eastAsia="Times New Roman CYR" w:cs="Times New Roman CYR"/>
          <w:bCs/>
          <w:color w:val="000000"/>
          <w:sz w:val="28"/>
          <w:szCs w:val="28"/>
        </w:rPr>
        <w:t>1 – широкие социальные мотивы учения (потребность ребенка в общении с другими людьми, в их оценке и одобрении, «желании занять определенное место в системе доступных ему общественных отношений»);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 CYR"/>
          <w:bCs/>
          <w:color w:val="000000"/>
          <w:sz w:val="28"/>
          <w:szCs w:val="28"/>
        </w:rPr>
        <w:t xml:space="preserve">2 – мотивы, связанные с учебной деятельностью (познавательные интересы ребенка, потребность в овладении новыми знаниями, навыками и умениями, </w:t>
      </w:r>
      <w:r>
        <w:rPr>
          <w:rFonts w:eastAsia="Times New Roman CYR" w:cs="Times New Roman"/>
          <w:bCs/>
          <w:color w:val="000000"/>
          <w:sz w:val="28"/>
          <w:szCs w:val="28"/>
        </w:rPr>
        <w:t>интеллектуальная активность со стороны ребенка).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  <w:r>
        <w:rPr>
          <w:rFonts w:eastAsia="Times New Roman CYR" w:cs="Times New Roman CYR"/>
          <w:bCs/>
          <w:color w:val="000000"/>
          <w:sz w:val="28"/>
          <w:szCs w:val="28"/>
        </w:rPr>
        <w:t xml:space="preserve">Проблему формирования готовности детей к обучению в школе разрабатывали и такие педагоги, как: А.С. Симонович, П.П. </w:t>
      </w:r>
      <w:proofErr w:type="spellStart"/>
      <w:r>
        <w:rPr>
          <w:rFonts w:eastAsia="Times New Roman CYR" w:cs="Times New Roman CYR"/>
          <w:bCs/>
          <w:color w:val="000000"/>
          <w:sz w:val="28"/>
          <w:szCs w:val="28"/>
        </w:rPr>
        <w:t>Блонский</w:t>
      </w:r>
      <w:proofErr w:type="spellEnd"/>
      <w:r>
        <w:rPr>
          <w:rFonts w:eastAsia="Times New Roman CYR" w:cs="Times New Roman CYR"/>
          <w:bCs/>
          <w:color w:val="000000"/>
          <w:sz w:val="28"/>
          <w:szCs w:val="28"/>
        </w:rPr>
        <w:t xml:space="preserve">, А.В. Луначарский, А.С. Макаренко, В.А. Сухомлинский. По их мнению, обязательное условие готовности к школе – это систематическая подготовка дошкольников, а признаком готовности является именно интеллектуальная готовность. В качестве обязательного показателя готовности одни педагоги (Л.О. Каганер, В. </w:t>
      </w:r>
      <w:proofErr w:type="spellStart"/>
      <w:r>
        <w:rPr>
          <w:rFonts w:eastAsia="Times New Roman CYR" w:cs="Times New Roman CYR"/>
          <w:bCs/>
          <w:color w:val="000000"/>
          <w:sz w:val="28"/>
          <w:szCs w:val="28"/>
        </w:rPr>
        <w:t>Радина</w:t>
      </w:r>
      <w:proofErr w:type="spellEnd"/>
      <w:r>
        <w:rPr>
          <w:rFonts w:eastAsia="Times New Roman CYR" w:cs="Times New Roman CYR"/>
          <w:bCs/>
          <w:color w:val="000000"/>
          <w:sz w:val="28"/>
          <w:szCs w:val="28"/>
        </w:rPr>
        <w:t xml:space="preserve"> и др.) считали уровень физического и умственного </w:t>
      </w:r>
      <w:r>
        <w:rPr>
          <w:rFonts w:eastAsia="Times New Roman CYR" w:cs="Times New Roman CYR"/>
          <w:bCs/>
          <w:color w:val="000000"/>
          <w:sz w:val="28"/>
          <w:szCs w:val="28"/>
        </w:rPr>
        <w:lastRenderedPageBreak/>
        <w:t xml:space="preserve">развития детей и их ориентацию в социуме, другие же (П.П. </w:t>
      </w:r>
      <w:proofErr w:type="spellStart"/>
      <w:r>
        <w:rPr>
          <w:rFonts w:eastAsia="Times New Roman CYR" w:cs="Times New Roman CYR"/>
          <w:bCs/>
          <w:color w:val="000000"/>
          <w:sz w:val="28"/>
          <w:szCs w:val="28"/>
        </w:rPr>
        <w:t>Блонский</w:t>
      </w:r>
      <w:proofErr w:type="spellEnd"/>
      <w:r>
        <w:rPr>
          <w:rFonts w:eastAsia="Times New Roman CYR" w:cs="Times New Roman CYR"/>
          <w:bCs/>
          <w:color w:val="000000"/>
          <w:sz w:val="28"/>
          <w:szCs w:val="28"/>
        </w:rPr>
        <w:t xml:space="preserve">, В. </w:t>
      </w:r>
      <w:proofErr w:type="spellStart"/>
      <w:r>
        <w:rPr>
          <w:rFonts w:eastAsia="Times New Roman CYR" w:cs="Times New Roman CYR"/>
          <w:bCs/>
          <w:color w:val="000000"/>
          <w:sz w:val="28"/>
          <w:szCs w:val="28"/>
        </w:rPr>
        <w:t>Шилевич</w:t>
      </w:r>
      <w:proofErr w:type="spellEnd"/>
      <w:r>
        <w:rPr>
          <w:rFonts w:eastAsia="Times New Roman CYR" w:cs="Times New Roman CYR"/>
          <w:bCs/>
          <w:color w:val="000000"/>
          <w:sz w:val="28"/>
          <w:szCs w:val="28"/>
        </w:rPr>
        <w:t>, Н.К. Крупская) – наличие внимания и интереса у ребенка к чтению. Я.А. Коменский выделил в качестве основных показателей готовности:</w:t>
      </w:r>
    </w:p>
    <w:p w:rsidR="00790A3F" w:rsidRDefault="00790A3F" w:rsidP="00790A3F">
      <w:pPr>
        <w:numPr>
          <w:ilvl w:val="0"/>
          <w:numId w:val="3"/>
        </w:numPr>
        <w:autoSpaceDE w:val="0"/>
        <w:spacing w:line="360" w:lineRule="auto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  <w:r>
        <w:rPr>
          <w:rFonts w:eastAsia="Times New Roman CYR" w:cs="Times New Roman CYR"/>
          <w:bCs/>
          <w:color w:val="000000"/>
          <w:sz w:val="28"/>
          <w:szCs w:val="28"/>
        </w:rPr>
        <w:t>знания в области окружающего мира</w:t>
      </w:r>
    </w:p>
    <w:p w:rsidR="00790A3F" w:rsidRDefault="00790A3F" w:rsidP="00790A3F">
      <w:pPr>
        <w:numPr>
          <w:ilvl w:val="0"/>
          <w:numId w:val="3"/>
        </w:numPr>
        <w:autoSpaceDE w:val="0"/>
        <w:spacing w:line="360" w:lineRule="auto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  <w:r w:rsidRPr="002A52E2">
        <w:rPr>
          <w:rFonts w:eastAsia="Times New Roman CYR" w:cs="Times New Roman CYR"/>
          <w:bCs/>
          <w:color w:val="000000"/>
          <w:sz w:val="28"/>
          <w:szCs w:val="28"/>
        </w:rPr>
        <w:t>способность к логическому рассуждению</w:t>
      </w:r>
    </w:p>
    <w:p w:rsidR="00790A3F" w:rsidRDefault="00790A3F" w:rsidP="00790A3F">
      <w:pPr>
        <w:numPr>
          <w:ilvl w:val="0"/>
          <w:numId w:val="3"/>
        </w:numPr>
        <w:autoSpaceDE w:val="0"/>
        <w:spacing w:line="360" w:lineRule="auto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  <w:r w:rsidRPr="002A52E2">
        <w:rPr>
          <w:rFonts w:eastAsia="Times New Roman CYR" w:cs="Times New Roman CYR"/>
          <w:bCs/>
          <w:color w:val="000000"/>
          <w:sz w:val="28"/>
          <w:szCs w:val="28"/>
        </w:rPr>
        <w:t>познавательную направленность</w:t>
      </w:r>
    </w:p>
    <w:p w:rsidR="00790A3F" w:rsidRPr="002A52E2" w:rsidRDefault="00790A3F" w:rsidP="00790A3F">
      <w:pPr>
        <w:numPr>
          <w:ilvl w:val="0"/>
          <w:numId w:val="3"/>
        </w:numPr>
        <w:autoSpaceDE w:val="0"/>
        <w:spacing w:line="360" w:lineRule="auto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  <w:r w:rsidRPr="002A52E2">
        <w:rPr>
          <w:rFonts w:eastAsia="Times New Roman CYR" w:cs="Times New Roman CYR"/>
          <w:bCs/>
          <w:color w:val="000000"/>
          <w:sz w:val="28"/>
          <w:szCs w:val="28"/>
        </w:rPr>
        <w:t xml:space="preserve">стремление к учебной деятельности. 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  <w:proofErr w:type="gramStart"/>
      <w:r>
        <w:rPr>
          <w:rFonts w:eastAsia="Times New Roman CYR" w:cs="Times New Roman CYR"/>
          <w:bCs/>
          <w:color w:val="000000"/>
          <w:sz w:val="28"/>
          <w:szCs w:val="28"/>
        </w:rPr>
        <w:t>И.Г. Песталоцци предлагал организовать в школах специальные классы для дошкольников, которые осуществляли бы переход от дошкольной к школьной ступени образования.</w:t>
      </w:r>
      <w:proofErr w:type="gramEnd"/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 CYR"/>
          <w:bCs/>
          <w:color w:val="000000"/>
          <w:sz w:val="28"/>
          <w:szCs w:val="28"/>
        </w:rPr>
        <w:t xml:space="preserve">Рассмотрим мнения зарубежных психологов касательно вопросов готовности к школе. Само понятие готовности они трактуют как достижение такой степени в развитии, когда ребенок «становится способным принимать участие в школьном </w:t>
      </w:r>
      <w:r>
        <w:rPr>
          <w:rFonts w:eastAsia="Times New Roman CYR" w:cs="Times New Roman"/>
          <w:bCs/>
          <w:color w:val="000000"/>
          <w:sz w:val="28"/>
          <w:szCs w:val="28"/>
        </w:rPr>
        <w:t xml:space="preserve">обучении». И. </w:t>
      </w:r>
      <w:proofErr w:type="spellStart"/>
      <w:r>
        <w:rPr>
          <w:rFonts w:eastAsia="Times New Roman CYR" w:cs="Times New Roman"/>
          <w:bCs/>
          <w:color w:val="000000"/>
          <w:sz w:val="28"/>
          <w:szCs w:val="28"/>
        </w:rPr>
        <w:t>Шванцара</w:t>
      </w:r>
      <w:proofErr w:type="spellEnd"/>
      <w:r>
        <w:rPr>
          <w:rFonts w:eastAsia="Times New Roman CYR" w:cs="Times New Roman"/>
          <w:bCs/>
          <w:color w:val="000000"/>
          <w:sz w:val="28"/>
          <w:szCs w:val="28"/>
        </w:rPr>
        <w:t xml:space="preserve"> выделяет </w:t>
      </w:r>
      <w:proofErr w:type="gramStart"/>
      <w:r>
        <w:rPr>
          <w:rFonts w:eastAsia="Times New Roman CYR" w:cs="Times New Roman"/>
          <w:bCs/>
          <w:color w:val="000000"/>
          <w:sz w:val="28"/>
          <w:szCs w:val="28"/>
        </w:rPr>
        <w:t>умственный</w:t>
      </w:r>
      <w:proofErr w:type="gramEnd"/>
      <w:r>
        <w:rPr>
          <w:rFonts w:eastAsia="Times New Roman CYR" w:cs="Times New Roman"/>
          <w:bCs/>
          <w:color w:val="000000"/>
          <w:sz w:val="28"/>
          <w:szCs w:val="28"/>
        </w:rPr>
        <w:t>, социальный и эмоциональный компоненты готовности в качестве обязательных.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Анастази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трактует понятие школьной зрелости как "овладение умениями, знаниями, способностями, мотивацией и другими необходимыми для оптимального уровня усвоения школьной программы поведенческими характеристиками". 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 xml:space="preserve">Н.И. </w:t>
      </w:r>
      <w:proofErr w:type="spellStart"/>
      <w:r>
        <w:rPr>
          <w:rFonts w:eastAsia="Times New Roman CYR" w:cs="Times New Roman"/>
          <w:bCs/>
          <w:color w:val="000000"/>
          <w:sz w:val="28"/>
          <w:szCs w:val="28"/>
        </w:rPr>
        <w:t>Гуткиной</w:t>
      </w:r>
      <w:proofErr w:type="spellEnd"/>
      <w:r>
        <w:rPr>
          <w:rFonts w:eastAsia="Times New Roman CYR" w:cs="Times New Roman"/>
          <w:bCs/>
          <w:color w:val="000000"/>
          <w:sz w:val="28"/>
          <w:szCs w:val="28"/>
        </w:rPr>
        <w:t xml:space="preserve"> разработана специальная методика для детей, неготовых к школьному обучению. Она разработала программу диагностического обследования, которая способна выявить детей, не готовых к школе, хорошо готовых к школе и готовых к ней на среднем уровне.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Проблемами диагностирования детей, поступающих в школу, занимались также А.Л.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Венгер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, В.В.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Холмовская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, Д.Б.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Ельконин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и другие.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Раскрыв понятие готовности, а также взгляды разных ученых и педагогов, обратимся теперь к видам психологической готовности к школьному обучению.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lastRenderedPageBreak/>
        <w:t xml:space="preserve">Разные педагоги выделяют различные компоненты психологической готовности. </w:t>
      </w:r>
      <w:proofErr w:type="gramStart"/>
      <w:r>
        <w:rPr>
          <w:rFonts w:eastAsia="Times New Roman CYR" w:cs="Times New Roman"/>
          <w:bCs/>
          <w:color w:val="000000"/>
          <w:sz w:val="28"/>
          <w:szCs w:val="28"/>
        </w:rPr>
        <w:t>Традиционно различают следующие виды готовности: психологическая, личностная, мотивационная, интеллектуальная, речевая, физиологическая, физическая и другие.</w:t>
      </w:r>
      <w:proofErr w:type="gramEnd"/>
      <w:r>
        <w:rPr>
          <w:rFonts w:eastAsia="Times New Roman CYR" w:cs="Times New Roman"/>
          <w:bCs/>
          <w:color w:val="000000"/>
          <w:sz w:val="28"/>
          <w:szCs w:val="28"/>
        </w:rPr>
        <w:t xml:space="preserve"> Хорошо развитые компоненты готовности обеспечат ребенку хорошую адаптацию к школьному обучению. 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 xml:space="preserve">Например, чешский психолог Й. </w:t>
      </w:r>
      <w:proofErr w:type="spellStart"/>
      <w:r>
        <w:rPr>
          <w:rFonts w:eastAsia="Times New Roman CYR" w:cs="Times New Roman"/>
          <w:bCs/>
          <w:color w:val="000000"/>
          <w:sz w:val="28"/>
          <w:szCs w:val="28"/>
        </w:rPr>
        <w:t>Шванцара</w:t>
      </w:r>
      <w:proofErr w:type="spellEnd"/>
      <w:r>
        <w:rPr>
          <w:rFonts w:eastAsia="Times New Roman CYR" w:cs="Times New Roman"/>
          <w:bCs/>
          <w:color w:val="000000"/>
          <w:sz w:val="28"/>
          <w:szCs w:val="28"/>
        </w:rPr>
        <w:t xml:space="preserve"> выделяет умственные, социальные и эмоциональные компоненты, а немецкий психолог </w:t>
      </w:r>
      <w:proofErr w:type="spellStart"/>
      <w:r>
        <w:rPr>
          <w:rFonts w:eastAsia="Times New Roman CYR" w:cs="Times New Roman"/>
          <w:bCs/>
          <w:color w:val="000000"/>
          <w:sz w:val="28"/>
          <w:szCs w:val="28"/>
        </w:rPr>
        <w:t>Г.Витцлак</w:t>
      </w:r>
      <w:proofErr w:type="spellEnd"/>
      <w:r>
        <w:rPr>
          <w:rFonts w:eastAsia="Times New Roman CYR" w:cs="Times New Roman"/>
          <w:bCs/>
          <w:color w:val="000000"/>
          <w:sz w:val="28"/>
          <w:szCs w:val="28"/>
        </w:rPr>
        <w:t xml:space="preserve"> – определенный уровень умственного развития, способности к концентрации, выносливости, определенные уровни стремления к достижениям, развитие интересов, способностей и социального поведения.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 xml:space="preserve">Структура психологической готовности </w:t>
      </w:r>
      <w:proofErr w:type="spellStart"/>
      <w:r>
        <w:rPr>
          <w:rFonts w:eastAsia="Times New Roman CYR" w:cs="Times New Roman"/>
          <w:bCs/>
          <w:color w:val="000000"/>
          <w:sz w:val="28"/>
          <w:szCs w:val="28"/>
        </w:rPr>
        <w:t>многокомпонентна</w:t>
      </w:r>
      <w:proofErr w:type="spellEnd"/>
      <w:r>
        <w:rPr>
          <w:rFonts w:eastAsia="Times New Roman CYR" w:cs="Times New Roman"/>
          <w:bCs/>
          <w:color w:val="000000"/>
          <w:sz w:val="28"/>
          <w:szCs w:val="28"/>
        </w:rPr>
        <w:t xml:space="preserve">, складывается из определенного уровня развития мыслительной деятельности и познавательных интересов, готовности к произвольной регуляции своей познавательной деятельности и к социальной позиции школьника. Эту точку зрения выдвинула Л.И. </w:t>
      </w:r>
      <w:proofErr w:type="spellStart"/>
      <w:proofErr w:type="gramStart"/>
      <w:r>
        <w:rPr>
          <w:rFonts w:eastAsia="Times New Roman CYR" w:cs="Times New Roman"/>
          <w:bCs/>
          <w:color w:val="000000"/>
          <w:sz w:val="28"/>
          <w:szCs w:val="28"/>
        </w:rPr>
        <w:t>Божович</w:t>
      </w:r>
      <w:proofErr w:type="spellEnd"/>
      <w:proofErr w:type="gramEnd"/>
      <w:r>
        <w:rPr>
          <w:rFonts w:eastAsia="Times New Roman CYR" w:cs="Times New Roman"/>
          <w:bCs/>
          <w:color w:val="000000"/>
          <w:sz w:val="28"/>
          <w:szCs w:val="28"/>
        </w:rPr>
        <w:t xml:space="preserve"> и поддерживал А.В. Запорожец. Они выделяли мотивацию как одним из важнейших компонентов готовности.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Обобщая точки зрения разных авторов касательно структуры психологической готовности к школе, можно выделить следующие важные ее компоненты:</w:t>
      </w:r>
    </w:p>
    <w:p w:rsidR="00790A3F" w:rsidRDefault="00790A3F" w:rsidP="00790A3F">
      <w:pPr>
        <w:numPr>
          <w:ilvl w:val="2"/>
          <w:numId w:val="1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 xml:space="preserve">Психомоторная готовность (уровень общего развития, глазомера, пространственной ориентации, способности к подражанию, степень развития </w:t>
      </w:r>
      <w:proofErr w:type="spellStart"/>
      <w:r>
        <w:rPr>
          <w:rFonts w:eastAsia="Times New Roman CYR" w:cs="Times New Roman"/>
          <w:bCs/>
          <w:color w:val="000000"/>
          <w:sz w:val="28"/>
          <w:szCs w:val="28"/>
        </w:rPr>
        <w:t>сложнокоординированных</w:t>
      </w:r>
      <w:proofErr w:type="spellEnd"/>
      <w:r>
        <w:rPr>
          <w:rFonts w:eastAsia="Times New Roman CYR" w:cs="Times New Roman"/>
          <w:bCs/>
          <w:color w:val="000000"/>
          <w:sz w:val="28"/>
          <w:szCs w:val="28"/>
        </w:rPr>
        <w:t xml:space="preserve"> движений руки).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 xml:space="preserve">Это соответствие степени созревания определенных мозговых структур, нервно – психических функций условиям и задачам школьного обучения. 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К психомоторной готовности относят такие преобразования, которые отвечают за повышение работоспособности и выносливости организма.</w:t>
      </w:r>
    </w:p>
    <w:p w:rsidR="00790A3F" w:rsidRDefault="00790A3F" w:rsidP="00790A3F">
      <w:pPr>
        <w:numPr>
          <w:ilvl w:val="2"/>
          <w:numId w:val="1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Интеллектуальная готовность (объем и качество знаний об окружающем мире, достаточный уровень развития познавательных интересов, определенный уровень развития психических процессов, начало произвольности и др.).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lastRenderedPageBreak/>
        <w:t>Здесь подразумевается приобретение определенного запаса знаний, пониманий общих связей, принципов, закономерностей, а также развитость наглядно – образного и наглядно – схематического мышления, творческого воображения и т.д.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Ребенок должен обладать определенным уровнем мыслительных операций: выделять существенное, рассуждать, находить причины, делать выводы; а также овладевать некоторыми специальными знаниями и навыками в грамоте, счете, решением арифметических задач.</w:t>
      </w:r>
    </w:p>
    <w:p w:rsidR="00790A3F" w:rsidRDefault="00790A3F" w:rsidP="00790A3F">
      <w:pPr>
        <w:numPr>
          <w:ilvl w:val="2"/>
          <w:numId w:val="1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Эмоционально – волевая готовность.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Многие психологи относят данный компонент к важной стороне психологической готовности. Он включает в себя:</w:t>
      </w:r>
    </w:p>
    <w:p w:rsidR="00790A3F" w:rsidRDefault="00790A3F" w:rsidP="00790A3F">
      <w:pPr>
        <w:numPr>
          <w:ilvl w:val="0"/>
          <w:numId w:val="4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произвольность поведения</w:t>
      </w:r>
    </w:p>
    <w:p w:rsidR="00790A3F" w:rsidRDefault="00790A3F" w:rsidP="00790A3F">
      <w:pPr>
        <w:numPr>
          <w:ilvl w:val="0"/>
          <w:numId w:val="4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формирование основных элементов волевого действия, постановка цели, принятие решения, построение плана действия, его выполнение и т.д.</w:t>
      </w:r>
    </w:p>
    <w:p w:rsidR="00790A3F" w:rsidRDefault="00790A3F" w:rsidP="00790A3F">
      <w:pPr>
        <w:numPr>
          <w:ilvl w:val="0"/>
          <w:numId w:val="4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повешение сдержанности и осознанности в проявлениях эмоций</w:t>
      </w:r>
    </w:p>
    <w:p w:rsidR="00790A3F" w:rsidRDefault="00790A3F" w:rsidP="00790A3F">
      <w:pPr>
        <w:numPr>
          <w:ilvl w:val="0"/>
          <w:numId w:val="4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позитивный эмоциональный настрой и положительное отношение к школьному обучению.</w:t>
      </w:r>
    </w:p>
    <w:p w:rsidR="00790A3F" w:rsidRDefault="00790A3F" w:rsidP="00790A3F">
      <w:pPr>
        <w:numPr>
          <w:ilvl w:val="2"/>
          <w:numId w:val="1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Личностная готовность.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Данный компонент включает в себя:</w:t>
      </w:r>
    </w:p>
    <w:p w:rsidR="00790A3F" w:rsidRDefault="00790A3F" w:rsidP="00790A3F">
      <w:pPr>
        <w:numPr>
          <w:ilvl w:val="0"/>
          <w:numId w:val="2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Формирование «внутренней позиции школьника». Сначала детей привлекают внешние атрибуты школьной жизни (портфель, фломастеры, ручки и др.). У ребенка появляется потребность в новой обстановке, в желании приобрести новых друзей. А уже затем появляется желание учиться, тянется к новым знаниям.</w:t>
      </w:r>
    </w:p>
    <w:p w:rsidR="00790A3F" w:rsidRDefault="00790A3F" w:rsidP="00790A3F">
      <w:pPr>
        <w:numPr>
          <w:ilvl w:val="0"/>
          <w:numId w:val="2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Мотивационная готовность является разновидностью личностной готовности.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 xml:space="preserve">Л.И. </w:t>
      </w:r>
      <w:proofErr w:type="spellStart"/>
      <w:r>
        <w:rPr>
          <w:rFonts w:eastAsia="Times New Roman CYR" w:cs="Times New Roman"/>
          <w:bCs/>
          <w:color w:val="000000"/>
          <w:sz w:val="28"/>
          <w:szCs w:val="28"/>
        </w:rPr>
        <w:t>Божович</w:t>
      </w:r>
      <w:proofErr w:type="spellEnd"/>
      <w:r>
        <w:rPr>
          <w:rFonts w:eastAsia="Times New Roman CYR" w:cs="Times New Roman"/>
          <w:bCs/>
          <w:color w:val="000000"/>
          <w:sz w:val="28"/>
          <w:szCs w:val="28"/>
        </w:rPr>
        <w:t xml:space="preserve"> уделяет внимание в формировании мотивационной готовности именно развитию познавательной потребности, поскольку она означает привлекательность содержания получаемых знаний,</w:t>
      </w:r>
    </w:p>
    <w:p w:rsidR="00790A3F" w:rsidRDefault="00790A3F" w:rsidP="00790A3F">
      <w:pPr>
        <w:numPr>
          <w:ilvl w:val="0"/>
          <w:numId w:val="2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lastRenderedPageBreak/>
        <w:t xml:space="preserve">Формирование начального уровня самосознания и самооценки. 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Ребенка отличают глобальное переживание собственной ценности, вера в возможность быта еще лучше, то есть возможность самосовершенствоваться.</w:t>
      </w:r>
    </w:p>
    <w:p w:rsidR="00790A3F" w:rsidRDefault="00790A3F" w:rsidP="00790A3F">
      <w:pPr>
        <w:numPr>
          <w:ilvl w:val="2"/>
          <w:numId w:val="1"/>
        </w:numPr>
        <w:autoSpaceDE w:val="0"/>
        <w:spacing w:line="360" w:lineRule="auto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Коммуникативная (социально-психологическая) готовность.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Формирование качеств общения с другими детьми и учителями. Ребенок должен уметь устанавливать взаимоотношения с другими, уметь войти в детское общество, уметь уступать и защищаться.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 xml:space="preserve">То есть,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данный компонент предполагает развитие у детей потребности в общении с другими, умение подчиняться интересам и обычаям детской группы, развивающиеся способности справляться с ролью школьника в ситуации школьного обучения.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"/>
          <w:bCs/>
          <w:color w:val="000000"/>
          <w:sz w:val="28"/>
          <w:szCs w:val="28"/>
        </w:rPr>
      </w:pPr>
      <w:r>
        <w:rPr>
          <w:rFonts w:eastAsia="Times New Roman CYR" w:cs="Times New Roman"/>
          <w:bCs/>
          <w:color w:val="000000"/>
          <w:sz w:val="28"/>
          <w:szCs w:val="28"/>
        </w:rPr>
        <w:t>Все вышеперечисленные компоненты формируются у дошкольника и достигают определенного уровня, продолжая развиваться с началом школьного обучения.</w:t>
      </w: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</w:p>
    <w:p w:rsidR="00790A3F" w:rsidRDefault="00790A3F" w:rsidP="00790A3F">
      <w:pPr>
        <w:autoSpaceDE w:val="0"/>
        <w:spacing w:line="360" w:lineRule="auto"/>
        <w:ind w:firstLine="567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</w:p>
    <w:p w:rsidR="004B684E" w:rsidRDefault="004B684E"/>
    <w:sectPr w:rsidR="004B684E" w:rsidSect="004B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2">
    <w:nsid w:val="0FBA10D3"/>
    <w:multiLevelType w:val="hybridMultilevel"/>
    <w:tmpl w:val="1698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F3DFF"/>
    <w:multiLevelType w:val="hybridMultilevel"/>
    <w:tmpl w:val="5B46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90A3F"/>
    <w:rsid w:val="004B684E"/>
    <w:rsid w:val="0079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3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8069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2019-05-11T20:23:00Z</dcterms:created>
  <dcterms:modified xsi:type="dcterms:W3CDTF">2019-05-11T20:24:00Z</dcterms:modified>
</cp:coreProperties>
</file>