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bidi w:val="0"/>
        <w:spacing w:lineRule="auto" w:line="360"/>
        <w:ind w:firstLine="709" w:left="0" w:right="0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8"/>
          <w:szCs w:val="28"/>
        </w:rPr>
        <w:t xml:space="preserve">ПСИХОЛОГИЧЕСКОЕ СОПРОВОЖДЕНИЕ, ПОДГОТОВКА, АСПЕКТЫ И АКЦЕНТЫ ДЛЯ УЧИТЕЛЯ И ОБУЧАЮЩИХСЯ </w:t>
      </w:r>
    </w:p>
    <w:p>
      <w:pPr>
        <w:pStyle w:val="BodyTextIndent"/>
        <w:bidi w:val="0"/>
        <w:spacing w:lineRule="auto" w:line="360"/>
        <w:ind w:firstLine="709" w:left="0" w:right="0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8"/>
          <w:szCs w:val="28"/>
        </w:rPr>
        <w:t>К СДАЧЕ ОГЭ ПО БИОЛОГИИ</w:t>
      </w:r>
    </w:p>
    <w:p>
      <w:pPr>
        <w:pStyle w:val="BodyTextIndent"/>
        <w:bidi w:val="0"/>
        <w:spacing w:lineRule="auto" w:line="360"/>
        <w:ind w:firstLine="709" w:left="0" w:right="0"/>
        <w:jc w:val="center"/>
        <w:rPr>
          <w:sz w:val="28"/>
          <w:szCs w:val="28"/>
        </w:rPr>
      </w:pPr>
      <w:r>
        <w:rPr>
          <w:rFonts w:ascii="Tinos" w:hAnsi="Tinos"/>
          <w:b/>
          <w:bCs/>
        </w:rPr>
      </w:r>
    </w:p>
    <w:p>
      <w:pPr>
        <w:pStyle w:val="BodyTextIndent"/>
        <w:bidi w:val="0"/>
        <w:spacing w:lineRule="auto" w:line="360"/>
        <w:ind w:firstLine="709" w:left="0" w:right="0"/>
        <w:jc w:val="right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8"/>
          <w:szCs w:val="28"/>
        </w:rPr>
        <w:t>Соколова Анна Сергеевна,</w:t>
      </w:r>
    </w:p>
    <w:p>
      <w:pPr>
        <w:pStyle w:val="BodyTextIndent"/>
        <w:bidi w:val="0"/>
        <w:spacing w:lineRule="auto" w:line="360"/>
        <w:ind w:firstLine="709" w:left="0" w:right="0"/>
        <w:jc w:val="right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8"/>
          <w:szCs w:val="28"/>
        </w:rPr>
        <w:t>методист отдела методического сопровождения оценочных процедур,</w:t>
      </w:r>
    </w:p>
    <w:p>
      <w:pPr>
        <w:pStyle w:val="BodyTextIndent"/>
        <w:bidi w:val="0"/>
        <w:spacing w:lineRule="auto" w:line="360"/>
        <w:ind w:firstLine="709" w:left="0" w:right="0"/>
        <w:jc w:val="right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8"/>
          <w:szCs w:val="28"/>
        </w:rPr>
        <w:t xml:space="preserve">ГБУ ЛНР «Региональный центр обработки информации </w:t>
      </w:r>
    </w:p>
    <w:p>
      <w:pPr>
        <w:pStyle w:val="BodyTextIndent"/>
        <w:bidi w:val="0"/>
        <w:spacing w:lineRule="auto" w:line="360"/>
        <w:ind w:firstLine="709" w:left="0" w:right="0"/>
        <w:jc w:val="right"/>
        <w:rPr>
          <w:rFonts w:ascii="Tinos" w:hAnsi="Tinos"/>
          <w:b/>
          <w:bCs/>
        </w:rPr>
      </w:pPr>
      <w:r>
        <w:rPr>
          <w:rFonts w:ascii="Tinos" w:hAnsi="Tinos"/>
          <w:b/>
          <w:bCs/>
          <w:sz w:val="28"/>
          <w:szCs w:val="28"/>
        </w:rPr>
        <w:t>в сфере образования и оценки качества образования»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BodyTextIndent"/>
        <w:bidi w:val="0"/>
        <w:spacing w:lineRule="auto" w:line="360"/>
        <w:ind w:hanging="0" w:left="0" w:right="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Статья показывает важность участия учителя и ученика при подготовке к ОГЭ по биологии в современных условиях. В ней так же указана необходимость самостоятельного обучения, серьезность подготовки и умение правильно создать условия для получения нужных знаний по предмету.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sz w:val="28"/>
          <w:szCs w:val="28"/>
        </w:rPr>
        <w:t>Люди живут в постоянно меняющемся мире. Порой не успевают следить за его изменениями. Но только не учителя! Темп жизни учителя — это постоянное обучение и совершенствование собственных умений и навыков.</w:t>
      </w:r>
    </w:p>
    <w:p>
      <w:pPr>
        <w:pStyle w:val="BodyTextIndent"/>
        <w:bidi w:val="0"/>
        <w:spacing w:lineRule="auto" w:line="360"/>
        <w:ind w:firstLine="709" w:left="0" w:right="0"/>
        <w:jc w:val="both"/>
        <w:rPr/>
      </w:pPr>
      <w:r>
        <w:rPr>
          <w:rFonts w:ascii="Tinos" w:hAnsi="Tinos"/>
          <w:color w:val="000000"/>
          <w:sz w:val="28"/>
          <w:szCs w:val="28"/>
        </w:rPr>
        <w:t xml:space="preserve">Учитель и ученик — это партнеры. От </w:t>
      </w:r>
      <w:r>
        <w:rPr>
          <w:rStyle w:val="Strong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взаимодействия и сотрудничества учителя и ученика при подготовке к ОГЭ зависят такие аспекты как: психологическая подготовка, информационная подготовка, работа на уроках, внеурочная работа </w:t>
      </w:r>
      <w:r>
        <w:rPr>
          <w:rStyle w:val="Strong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соблюдение инструкций по выполнению работы в целом</w:t>
      </w:r>
      <w:r>
        <w:rPr>
          <w:rStyle w:val="Strong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Очень важна слаженная и целенаправленная работа всех участников образовательного процесса.</w:t>
      </w:r>
    </w:p>
    <w:p>
      <w:pPr>
        <w:pStyle w:val="BodyTextIndent"/>
        <w:bidi w:val="0"/>
        <w:spacing w:lineRule="auto" w:line="360"/>
        <w:ind w:firstLine="709" w:left="0" w:right="0"/>
        <w:rPr/>
      </w:pPr>
      <w:r>
        <w:rPr>
          <w:rStyle w:val="Strong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Учитель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организует обучение так, чтобы достичь цели и решить задачи, поставленные в образовательном стандарте, и подготовить выпускников к успешной сдаче ОГЭ. </w:t>
      </w:r>
    </w:p>
    <w:p>
      <w:pPr>
        <w:pStyle w:val="BodyTextIndent"/>
        <w:bidi w:val="0"/>
        <w:spacing w:lineRule="auto" w:line="360"/>
        <w:ind w:firstLine="709" w:left="0" w:right="0"/>
        <w:rPr/>
      </w:pPr>
      <w:r>
        <w:rPr>
          <w:rStyle w:val="Strong"/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Ученик</w:t>
      </w:r>
      <w:r>
        <w:rPr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, в свою очередь, должен вспомнить всё то, что уже изучено, рационально использовать накопленные знания и следовать рекомендациям учителя.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Основной государственный экзамен (ОГЭ) просто необходим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контроля знаний, полученных учащимися за 9 лет, а также для поступления в профильные школы, гимназии, лицеи или другие учебные заведения высшего профессионального образования.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ОГЭ является подготовительным этапом перед сдачей Единого государственного экзамена (ЕГЭ), который проводится в конце 11 класса. Именно ОГЭ помогает обучающимся привыкнуть к формату экзамена, потренироваться в выполнении заданий и оценить свои сильные и слабые стороны перед выпускными экзаменами.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Учителю важно поэтапно показать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правильное распределение контрольн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измерительных материалов (КИМ) по биологии при подготовке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обучающихся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 ОГЭ, а впоследствии и к ЕГЭ.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есколько аспектов, на которые нужно с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ать акцент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учителю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при подготовке к ОГЭ:</w:t>
      </w:r>
    </w:p>
    <w:p>
      <w:pPr>
        <w:pStyle w:val="1LTGliederung1"/>
        <w:tabs>
          <w:tab w:val="clear" w:pos="709"/>
          <w:tab w:val="left" w:pos="0" w:leader="none"/>
        </w:tabs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1. Экзаменационная работа предусматривает проверку результатов усвоения знаний и овладения умениями на разных уровнях: владение основами понятийного аппарата, умение описывать объекты, процессы и явления; умение применять систему биологических знаний, решать учебные задачи, владеть навыками работы с информацией, применять знания и умения в знакомой, изменённой и новой ситуациях.</w:t>
      </w:r>
    </w:p>
    <w:p>
      <w:pPr>
        <w:pStyle w:val="1LTGliederung1"/>
        <w:tabs>
          <w:tab w:val="clear" w:pos="709"/>
          <w:tab w:val="left" w:pos="0" w:leader="none"/>
        </w:tabs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2. Воспроизведение знаний предполагает оперирование следующими учебными умениями: узнавать типичные биологические объекты, процессы, явления; применять важнейшие биологические термины и понятия. Задания на воспроизведение обеспечивают контроль усвоения основных вопросов курса биологии на базовом уровне.</w:t>
      </w:r>
    </w:p>
    <w:p>
      <w:pPr>
        <w:pStyle w:val="1LTGliederung1"/>
        <w:tabs>
          <w:tab w:val="clear" w:pos="709"/>
          <w:tab w:val="left" w:pos="0" w:leader="none"/>
        </w:tabs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3. Применение знаний в знакомой ситуации требует овладения более сложными умениями: объяснять, сравнивать, классифицировать, распознавать и описывать типичные биологические объекты, процессы и явления. Задания, контролирующие данные умения, направлены на выявление усвоения содержания по всем пяти содержательным блокам учебного предмета.</w:t>
      </w:r>
    </w:p>
    <w:p>
      <w:pPr>
        <w:pStyle w:val="1LTGliederung1"/>
        <w:tabs>
          <w:tab w:val="clear" w:pos="709"/>
          <w:tab w:val="left" w:pos="0" w:leader="none"/>
        </w:tabs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4. Применение знаний в изменённой ситуации предусматривает оперирование экзаменуемыми такими учебными умениями, как научное обоснование биологических процессов и явлений, установление причинно- следственных связей, анализ, обобщение, формулирование выводов, решение учебных задачи биологического содержания.</w:t>
      </w:r>
    </w:p>
    <w:p>
      <w:pPr>
        <w:pStyle w:val="1LTGliederung1"/>
        <w:tabs>
          <w:tab w:val="clear" w:pos="709"/>
          <w:tab w:val="left" w:pos="0" w:leader="none"/>
        </w:tabs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Применение знаний в новой ситуации предполагает оперирование умениями использовать приобретённые знания в практической деятельности, систематизировать и интегрировать знания, оценивать и прогнозировать биологические процессы, решать практические и творческие задачи. Задания подобного типа проверяют сформированность у экзаменуемых естественнонаучного мировоззрения, биологической грамотности, творческого мышления.</w:t>
      </w:r>
    </w:p>
    <w:p>
      <w:pPr>
        <w:pStyle w:val="Heading1"/>
        <w:tabs>
          <w:tab w:val="clear" w:pos="709"/>
          <w:tab w:val="left" w:pos="343" w:leader="none"/>
        </w:tabs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Каждый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вариант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экзаменационной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работы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включает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себя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26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заданий и состоит из двух частей.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Часть 1 содержит 21 задание с кратким ответом, часть 2 содержит 5 заданий с развернутым ответом.</w:t>
      </w:r>
    </w:p>
    <w:p>
      <w:pPr>
        <w:pStyle w:val="BodyText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</w:rPr>
        <w:t xml:space="preserve">Важно помнить и знать при подготовке </w:t>
      </w:r>
      <w:r>
        <w:rPr>
          <w:rFonts w:ascii="Tinos" w:hAnsi="Tinos"/>
        </w:rPr>
        <w:t>учителю и ученику</w:t>
      </w:r>
      <w:r>
        <w:rPr>
          <w:rFonts w:ascii="Tinos" w:hAnsi="Tinos"/>
        </w:rPr>
        <w:t>, что э</w:t>
      </w:r>
      <w:r>
        <w:rPr>
          <w:rFonts w:ascii="Tinos" w:hAnsi="Tinos"/>
        </w:rPr>
        <w:t xml:space="preserve">кзаменационная работа ОГЭ включает в себя пять содержательных </w:t>
      </w:r>
      <w:r>
        <w:rPr>
          <w:rFonts w:ascii="Tinos" w:hAnsi="Tinos"/>
          <w:spacing w:val="-2"/>
        </w:rPr>
        <w:t>блоков.</w:t>
      </w:r>
    </w:p>
    <w:p>
      <w:pPr>
        <w:pStyle w:val="BodyText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/>
        </w:rPr>
        <w:t xml:space="preserve">Первый блок «Биология как наука» </w:t>
      </w:r>
      <w:r>
        <w:rPr>
          <w:rFonts w:ascii="Tinos" w:hAnsi="Tinos"/>
        </w:rPr>
        <w:t>включает в себя задания, контролирующие знания о роли биологии в формировании современной естественнонаучной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картины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мира,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в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практической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деятельности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 xml:space="preserve">людей; о методах изучения живых объектов (наблюдение, описание, измерение, </w:t>
      </w:r>
      <w:r>
        <w:rPr>
          <w:rFonts w:ascii="Tinos" w:hAnsi="Tinos"/>
          <w:spacing w:val="-2"/>
        </w:rPr>
        <w:t>эксперимент).</w:t>
      </w:r>
    </w:p>
    <w:p>
      <w:pPr>
        <w:pStyle w:val="BodyText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/>
        </w:rPr>
        <w:t xml:space="preserve">Второй блок «Признаки живых организмов» </w:t>
      </w:r>
      <w:r>
        <w:rPr>
          <w:rFonts w:ascii="Tinos" w:hAnsi="Tinos"/>
        </w:rPr>
        <w:t>представлен заданиями, проверяющими знания о строении, функциях и многообразии клеток, тканей, органов</w:t>
      </w:r>
      <w:r>
        <w:rPr>
          <w:rFonts w:ascii="Tinos" w:hAnsi="Tinos"/>
          <w:spacing w:val="39"/>
        </w:rPr>
        <w:t xml:space="preserve"> </w:t>
      </w:r>
      <w:r>
        <w:rPr>
          <w:rFonts w:ascii="Tinos" w:hAnsi="Tinos"/>
        </w:rPr>
        <w:t>и</w:t>
      </w:r>
      <w:r>
        <w:rPr>
          <w:rFonts w:ascii="Tinos" w:hAnsi="Tinos"/>
          <w:spacing w:val="39"/>
        </w:rPr>
        <w:t xml:space="preserve"> </w:t>
      </w:r>
      <w:r>
        <w:rPr>
          <w:rFonts w:ascii="Tinos" w:hAnsi="Tinos"/>
        </w:rPr>
        <w:t>систем</w:t>
      </w:r>
      <w:r>
        <w:rPr>
          <w:rFonts w:ascii="Tinos" w:hAnsi="Tinos"/>
          <w:spacing w:val="39"/>
        </w:rPr>
        <w:t xml:space="preserve"> </w:t>
      </w:r>
      <w:r>
        <w:rPr>
          <w:rFonts w:ascii="Tinos" w:hAnsi="Tinos"/>
        </w:rPr>
        <w:t>органов;</w:t>
      </w:r>
      <w:r>
        <w:rPr>
          <w:rFonts w:ascii="Tinos" w:hAnsi="Tinos"/>
          <w:spacing w:val="39"/>
        </w:rPr>
        <w:t xml:space="preserve"> </w:t>
      </w:r>
      <w:r>
        <w:rPr>
          <w:rFonts w:ascii="Tinos" w:hAnsi="Tinos"/>
        </w:rPr>
        <w:t>признаках</w:t>
      </w:r>
      <w:r>
        <w:rPr>
          <w:rFonts w:ascii="Tinos" w:hAnsi="Tinos"/>
          <w:spacing w:val="40"/>
        </w:rPr>
        <w:t xml:space="preserve"> </w:t>
      </w:r>
      <w:r>
        <w:rPr>
          <w:rFonts w:ascii="Tinos" w:hAnsi="Tinos"/>
        </w:rPr>
        <w:t>живых</w:t>
      </w:r>
      <w:r>
        <w:rPr>
          <w:rFonts w:ascii="Tinos" w:hAnsi="Tinos"/>
          <w:spacing w:val="39"/>
        </w:rPr>
        <w:t xml:space="preserve"> </w:t>
      </w:r>
      <w:r>
        <w:rPr>
          <w:rFonts w:ascii="Tinos" w:hAnsi="Tinos"/>
        </w:rPr>
        <w:t>организмов,</w:t>
      </w:r>
      <w:r>
        <w:rPr>
          <w:rFonts w:ascii="Tinos" w:hAnsi="Tinos"/>
          <w:spacing w:val="39"/>
        </w:rPr>
        <w:t xml:space="preserve"> </w:t>
      </w:r>
      <w:r>
        <w:rPr>
          <w:rFonts w:ascii="Tinos" w:hAnsi="Tinos"/>
        </w:rPr>
        <w:t>наследственности и изменчивости;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способах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размножения,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приёмах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выращивания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растений и разведения животных.</w:t>
      </w:r>
    </w:p>
    <w:p>
      <w:pPr>
        <w:pStyle w:val="BodyText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/>
        </w:rPr>
        <w:t xml:space="preserve">Третий блок «Система, многообразие и эволюция живой природы» </w:t>
      </w:r>
      <w:r>
        <w:rPr>
          <w:rFonts w:ascii="Tinos" w:hAnsi="Tinos"/>
        </w:rPr>
        <w:t>содержит задания, контролирующие знания о важнейших отличительных признаках основных царств живой природы (Животные, Растения, Грибы, Бактерии);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классификации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растений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и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животных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(отдел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(тип),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класс);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об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усложнении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растений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и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животных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в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процессе</w:t>
      </w:r>
      <w:r>
        <w:rPr>
          <w:rFonts w:ascii="Tinos" w:hAnsi="Tinos"/>
          <w:spacing w:val="80"/>
        </w:rPr>
        <w:t xml:space="preserve">  </w:t>
      </w:r>
      <w:r>
        <w:rPr>
          <w:rFonts w:ascii="Tinos" w:hAnsi="Tinos"/>
        </w:rPr>
        <w:t>эволюции;</w:t>
      </w:r>
      <w:r>
        <w:rPr>
          <w:rFonts w:ascii="Tinos" w:hAnsi="Tinos"/>
          <w:spacing w:val="80"/>
        </w:rPr>
        <w:t xml:space="preserve"> </w:t>
      </w:r>
      <w:r>
        <w:rPr>
          <w:rFonts w:ascii="Tinos" w:hAnsi="Tinos"/>
        </w:rPr>
        <w:t>о биоразнообразии как основе устойчивости биосферы и результате</w:t>
      </w:r>
      <w:r>
        <w:rPr>
          <w:rFonts w:ascii="Tinos" w:hAnsi="Tinos"/>
          <w:spacing w:val="80"/>
          <w:w w:val="150"/>
        </w:rPr>
        <w:t xml:space="preserve"> </w:t>
      </w:r>
      <w:r>
        <w:rPr>
          <w:rFonts w:ascii="Tinos" w:hAnsi="Tinos"/>
          <w:spacing w:val="-2"/>
        </w:rPr>
        <w:t>эволюции.</w:t>
      </w:r>
    </w:p>
    <w:p>
      <w:pPr>
        <w:pStyle w:val="BodyText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/>
          <w:bCs/>
          <w:color w:val="000000"/>
          <w:sz w:val="28"/>
          <w:szCs w:val="28"/>
        </w:rPr>
        <w:t xml:space="preserve">Четвёртый блок «Человек и его здоровье» содержит задания,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выявляющие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знания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о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происхождении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человека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и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его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биосоциальной природе, высшей нервной деятельности и об особенностях поведения</w:t>
      </w:r>
      <w:r>
        <w:rPr>
          <w:rFonts w:ascii="Tinos" w:hAnsi="Tinos"/>
          <w:b w:val="false"/>
          <w:bC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человека; строении и жизнедеятельности органов и систем органов (нервной, эндокринной, кровеносной, лимфатической, дыхания, выделения, пищеварения,</w:t>
      </w:r>
      <w:r>
        <w:rPr>
          <w:rFonts w:ascii="Tinos" w:hAnsi="Tinos"/>
          <w:b w:val="false"/>
          <w:bCs w:val="false"/>
          <w:color w:val="000000"/>
          <w:spacing w:val="61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половой,</w:t>
      </w:r>
      <w:r>
        <w:rPr>
          <w:rFonts w:ascii="Tinos" w:hAnsi="Tinos"/>
          <w:b w:val="false"/>
          <w:bCs w:val="false"/>
          <w:color w:val="000000"/>
          <w:spacing w:val="61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опоры</w:t>
      </w:r>
      <w:r>
        <w:rPr>
          <w:rFonts w:ascii="Tinos" w:hAnsi="Tinos"/>
          <w:b w:val="false"/>
          <w:bCs w:val="false"/>
          <w:color w:val="000000"/>
          <w:spacing w:val="61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и</w:t>
      </w:r>
      <w:r>
        <w:rPr>
          <w:rFonts w:ascii="Tinos" w:hAnsi="Tinos"/>
          <w:b w:val="false"/>
          <w:bCs w:val="false"/>
          <w:color w:val="000000"/>
          <w:spacing w:val="60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движения);</w:t>
      </w:r>
      <w:r>
        <w:rPr>
          <w:rFonts w:ascii="Tinos" w:hAnsi="Tinos"/>
          <w:b w:val="false"/>
          <w:bCs w:val="false"/>
          <w:color w:val="000000"/>
          <w:spacing w:val="61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о</w:t>
      </w:r>
      <w:r>
        <w:rPr>
          <w:rFonts w:ascii="Tinos" w:hAnsi="Tinos"/>
          <w:b w:val="false"/>
          <w:bCs w:val="false"/>
          <w:color w:val="000000"/>
          <w:spacing w:val="61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внутренней</w:t>
      </w:r>
      <w:r>
        <w:rPr>
          <w:rFonts w:ascii="Tinos" w:hAnsi="Tinos"/>
          <w:b w:val="false"/>
          <w:bCs w:val="false"/>
          <w:color w:val="000000"/>
          <w:spacing w:val="61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среде, об иммунитете, органах чувств, о нейрогуморальной регуляции процессов жизнедеятельности; санитарно-гигиенических нормах и правилах здорового образа жизни.</w:t>
      </w:r>
    </w:p>
    <w:p>
      <w:pPr>
        <w:pStyle w:val="BodyText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Пятый блок «Взаимосвязи организмов и окружающей среды»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содержит задания, проверяющие знания о системной организации живой природы,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экологических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факторах,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взаимодействии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разных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видов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природе;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естественных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искусственных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экосистемах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входящих в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компонентах,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пищевых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связях;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экологических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проблемах, их влиянии на собственную жизнь и жизнь других людей; о правилах поведения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окружающей среде и способах сохранения равновесия в ней.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Экзамен способствует выработке у школьников умения анализировать биологическую информацию, грамотно излагать свои мысли при выполнении разного уровня заданий, быстро принимать решения в условиях ограниченного времени, самостоятельно вырабатывать стратегию решения сложных биологических заданий.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Очень важно учителю научить каждого ребенка внимательно читать инструкции к каждому типу заданий и предписаний к их выполнению, научить выделять главное в формулировке задания, научить проводить анализ задания, понимать очередность выполнения заданий, сформировать умение работать с текстом, выделять в нем главное, существенное определять по рисунку или схеме всю необходимую информацию, контролировать время при выполнении разноуровневых заданий и адекватно оценивать уровни сложности, а так же грамотно дать аргументы при выполнении заданий 2 КИМ ОГЭ. Как показывает опыт, нужна индивидуальная траектория, при подготовки обучающихся к ОГЭ, учитывающая способности, знания и умения обучающихся идти в ногу со временем. Учитель выступает в роли наставника и постоянного контроля при ознакомлении с огромной базой заданий и выполнением заданий данных ребенку для самостоятельного изучения.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Учителю необходимо выстроить алгоритм в голове ребенка перед сдачей экзамена: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внимательное прочтение инструкций и предписаний к каждому типу заданий;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умение выделить главное в формулировке задания;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произвести анализ задания;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исключить освещение второстепенного материала;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выполнить задание.</w:t>
      </w:r>
    </w:p>
    <w:p>
      <w:pPr>
        <w:pStyle w:val="BodyTextIndent"/>
        <w:bidi w:val="0"/>
        <w:spacing w:lineRule="auto" w:line="360"/>
        <w:ind w:firstLine="709" w:left="0" w:right="0"/>
        <w:rPr>
          <w:rFonts w:ascii="Tinos" w:hAnsi="Tinos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Учитель может использовать, например, технологию уровневой дифференциации, чтобы создать ситуацию успеха для каждого школьника.</w:t>
      </w:r>
    </w:p>
    <w:p>
      <w:pPr>
        <w:pStyle w:val="BodyTextIndent"/>
        <w:bidi w:val="0"/>
        <w:spacing w:lineRule="auto" w:line="360"/>
        <w:ind w:firstLine="709" w:left="0" w:right="0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Поэтому для подготовки к ОГЭ в школе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нужно разработать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комплексн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ую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программ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учитывающ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ую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все аспекты этой работы,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учетом внесения ежегодных изменений и дополнений.</w:t>
      </w:r>
    </w:p>
    <w:p>
      <w:pPr>
        <w:pStyle w:val="BodyTextIndent"/>
        <w:bidi w:val="0"/>
        <w:spacing w:lineRule="auto" w:line="360"/>
        <w:ind w:firstLine="709" w:left="0" w:right="0"/>
        <w:jc w:val="center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BodyTextIndent"/>
        <w:bidi w:val="0"/>
        <w:spacing w:lineRule="auto" w:line="360"/>
        <w:ind w:firstLine="709" w:left="0" w:right="0"/>
        <w:jc w:val="center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BodyTextIndent"/>
        <w:bidi w:val="0"/>
        <w:spacing w:lineRule="auto" w:line="360"/>
        <w:ind w:firstLine="709" w:left="0" w:right="0"/>
        <w:jc w:val="center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BodyTextIndent"/>
        <w:bidi w:val="0"/>
        <w:spacing w:lineRule="auto" w:line="360"/>
        <w:ind w:firstLine="709" w:left="0" w:right="0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Список литературы</w:t>
      </w:r>
    </w:p>
    <w:p>
      <w:pPr>
        <w:pStyle w:val="BodyTextIndent"/>
        <w:bidi w:val="0"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1. Биология: 7 класс: углубленный уровень: учебник. Суматохин С.В., Громова Н.П., Беликова Г.А. и другие; под редакцией Суматохина С.В. Акционерное общество «Издательство «Просвещение», учебник может быть использован до 20.07.2028., 272 с.</w:t>
      </w:r>
    </w:p>
    <w:p>
      <w:pPr>
        <w:pStyle w:val="BodyTextIndent"/>
        <w:bidi w:val="0"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2. Биология: 8 класс: углубленный уровень: учебник: в 2 частях. Ч.1: Суматохин С.В., Громова Н.П., Беликова Г.А. и другие; под редакцией Суматохина С.В.; Ч.2: Суматохин С.В., Громова Н.П., Захарова Н.Ю. и другие; под редакцией Суматохина С.В.. Акционерное общество «Издательство «Просвещение», учебник может быть использован до 20.07.2028., Ч.1: 240 с., Ч.2: 240с.</w:t>
      </w:r>
    </w:p>
    <w:p>
      <w:pPr>
        <w:pStyle w:val="BodyTextIndent"/>
        <w:bidi w:val="0"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3. Биология: 9 класс: углубленный уровень: учебник: в 2 частях. Суматохин С.В., Громова Н.П., Сершеев И.Ю. и другие; под редакцией Суматохина С.В. Акционерное общество «Издательство «Просвещение», учебник может быть использован до 20.07.2028., Ч.1:272 с., Ч.2: 272 с.</w:t>
      </w:r>
    </w:p>
    <w:p>
      <w:pPr>
        <w:pStyle w:val="BodyTextIndent"/>
        <w:bidi w:val="0"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Биология. Рохлов В.С., Трофимов С.Б., Теремов А.В. Акционерное общество «Издательство «Просвещение», учебник может быть использован до 31.08.2027., 304 с.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ОГЭ-2025. Биология. Типовые экзаменационные задания. 30 вариантов. Под редакцией В.С.Рохлова.</w:t>
      </w:r>
    </w:p>
    <w:p>
      <w:pPr>
        <w:pStyle w:val="Normal"/>
        <w:widowControl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ОГЭ-2025. Биология: 15 типовых вариантов заданий. ФИПИ | Мазяркина Т.В., Первак С.В.</w:t>
      </w:r>
    </w:p>
    <w:p>
      <w:pPr>
        <w:pStyle w:val="Normal"/>
        <w:widowControl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pacing w:lineRule="auto" w:line="360" w:before="0" w:after="0"/>
        <w:ind w:firstLine="709" w:left="0" w:right="0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нтернет ресурсы</w:t>
      </w:r>
    </w:p>
    <w:p>
      <w:pPr>
        <w:pStyle w:val="Normal"/>
        <w:widowControl/>
        <w:spacing w:lineRule="auto" w:line="360" w:before="0" w:after="0"/>
        <w:ind w:firstLine="709" w:left="0" w:right="0"/>
        <w:jc w:val="both"/>
        <w:rPr>
          <w:rFonts w:ascii="Tinos" w:hAnsi="Tinos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  <w:lang w:eastAsia="ru-RU"/>
        </w:rPr>
        <w:t xml:space="preserve">1. </w:t>
      </w:r>
      <w:hyperlink r:id="rId2">
        <w:r>
          <w:rPr>
            <w:rStyle w:val="Hyperlink"/>
            <w:rFonts w:ascii="Tinos" w:hAnsi="Tinos"/>
            <w:b w:val="false"/>
            <w:bCs w:val="false"/>
            <w:color w:val="000000"/>
            <w:sz w:val="28"/>
            <w:szCs w:val="28"/>
            <w:lang w:eastAsia="ru-RU"/>
          </w:rPr>
          <w:t>https://fipi.ru/oge/normativno-pravovye-dokumenty</w:t>
        </w:r>
      </w:hyperlink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ascii="Tinos" w:hAnsi="Tinos"/>
          <w:b w:val="false"/>
          <w:bCs w:val="false"/>
          <w:color w:val="000000"/>
          <w:sz w:val="28"/>
          <w:szCs w:val="28"/>
          <w:lang w:eastAsia="ru-RU"/>
        </w:rPr>
        <w:t xml:space="preserve">2. </w:t>
      </w:r>
      <w:r>
        <w:rPr>
          <w:rStyle w:val="Hyperlink"/>
          <w:rFonts w:ascii="Tinos" w:hAnsi="Tinos"/>
          <w:b w:val="false"/>
          <w:bCs w:val="false"/>
          <w:color w:val="000000"/>
          <w:sz w:val="28"/>
          <w:szCs w:val="28"/>
          <w:lang w:eastAsia="ru-RU"/>
        </w:rPr>
        <w:t>https://fipi.ru/oge/otkrytyy-bank-zadaniy-oge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nos" w:hAnsi="Tinos"/>
        </w:rPr>
      </w:pPr>
      <w:r>
        <w:rPr>
          <w:rFonts w:ascii="Tinos" w:hAnsi="Tinos"/>
        </w:rPr>
      </w:r>
    </w:p>
    <w:sectPr>
      <w:headerReference w:type="even" r:id="rId3"/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0" w:top="1134" w:footer="1134" w:bottom="1701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Noto Sans Devanagari">
    <w:charset w:val="01"/>
    <w:family w:val="roman"/>
    <w:pitch w:val="default"/>
  </w:font>
  <w:font w:name="Tinos">
    <w:charset w:val="01"/>
    <w:family w:val="auto"/>
    <w:pitch w:val="variable"/>
  </w:font>
  <w:font w:name="Tinos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Indent"/>
    <w:qFormat/>
    <w:pPr>
      <w:spacing w:before="0" w:after="0"/>
      <w:ind w:hanging="0" w:left="709" w:right="0"/>
      <w:jc w:val="both"/>
    </w:pPr>
    <w:rPr>
      <w:b/>
    </w:rPr>
  </w:style>
  <w:style w:type="paragraph" w:styleId="BodyTextIndent">
    <w:name w:val="Body Text Indent"/>
    <w:basedOn w:val="BodyText"/>
    <w:qFormat/>
    <w:pPr>
      <w:ind w:hanging="0" w:left="0" w:right="0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qFormat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ачало нумерованного списка 1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qFormat/>
    <w:pPr>
      <w:numPr>
        <w:ilvl w:val="0"/>
        <w:numId w:val="1"/>
      </w:numPr>
      <w:spacing w:before="0" w:after="0"/>
      <w:ind w:hanging="0" w:left="0" w:right="0"/>
    </w:pPr>
    <w:rPr/>
  </w:style>
  <w:style w:type="paragraph" w:styleId="11">
    <w:name w:val="Конец нумерованного списка 1"/>
    <w:basedOn w:val="List"/>
    <w:next w:val="ListBullet4"/>
    <w:qFormat/>
    <w:pPr>
      <w:spacing w:before="0" w:after="0"/>
      <w:ind w:hanging="0" w:left="0" w:right="0"/>
    </w:pPr>
    <w:rPr/>
  </w:style>
  <w:style w:type="paragraph" w:styleId="12">
    <w:name w:val="Продолжение нумерованного списка 1"/>
    <w:basedOn w:val="List"/>
    <w:qFormat/>
    <w:pPr>
      <w:spacing w:before="0" w:after="0"/>
      <w:ind w:hanging="0" w:left="0" w:right="0"/>
    </w:pPr>
    <w:rPr/>
  </w:style>
  <w:style w:type="paragraph" w:styleId="2">
    <w:name w:val="Начало нумерованного списка 2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qFormat/>
    <w:pPr>
      <w:spacing w:before="0" w:after="0"/>
      <w:ind w:hanging="0" w:left="0" w:right="0"/>
    </w:pPr>
    <w:rPr/>
  </w:style>
  <w:style w:type="paragraph" w:styleId="21">
    <w:name w:val="Конец нумерованного списка 2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Продолжение нумерованного списка 2"/>
    <w:basedOn w:val="List"/>
    <w:qFormat/>
    <w:pPr>
      <w:spacing w:before="0" w:after="0"/>
      <w:ind w:hanging="0" w:left="0" w:right="0"/>
    </w:pPr>
    <w:rPr/>
  </w:style>
  <w:style w:type="paragraph" w:styleId="3">
    <w:name w:val="Начало нумерованного списка 3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qFormat/>
    <w:pPr>
      <w:spacing w:before="0" w:after="0"/>
      <w:ind w:hanging="0" w:left="0" w:right="0"/>
    </w:pPr>
    <w:rPr/>
  </w:style>
  <w:style w:type="paragraph" w:styleId="31">
    <w:name w:val="Конец нумерованного списка 3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Продолжение нумерованного списка 3"/>
    <w:basedOn w:val="List"/>
    <w:qFormat/>
    <w:pPr>
      <w:spacing w:before="0" w:after="0"/>
      <w:ind w:hanging="0" w:left="0" w:right="0"/>
    </w:pPr>
    <w:rPr/>
  </w:style>
  <w:style w:type="paragraph" w:styleId="4">
    <w:name w:val="Начало нумерованного списка 4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qFormat/>
    <w:pPr>
      <w:spacing w:before="0" w:after="0"/>
      <w:ind w:hanging="0" w:left="0" w:right="0"/>
    </w:pPr>
    <w:rPr/>
  </w:style>
  <w:style w:type="paragraph" w:styleId="41">
    <w:name w:val="Конец нумерованного списка 4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Продолжение нумерованного списка 4"/>
    <w:basedOn w:val="List"/>
    <w:qFormat/>
    <w:pPr>
      <w:spacing w:before="0" w:after="0"/>
      <w:ind w:hanging="0" w:left="0" w:right="0"/>
    </w:pPr>
    <w:rPr/>
  </w:style>
  <w:style w:type="paragraph" w:styleId="5">
    <w:name w:val="Начало нумерованного списка 5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qFormat/>
    <w:pPr>
      <w:spacing w:before="0" w:after="0"/>
      <w:ind w:hanging="0" w:left="0" w:right="0"/>
    </w:pPr>
    <w:rPr/>
  </w:style>
  <w:style w:type="paragraph" w:styleId="51">
    <w:name w:val="Конец нумерованного списка 5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Продолжение нумерованного списка 5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qFormat/>
    <w:pPr>
      <w:numPr>
        <w:ilvl w:val="0"/>
        <w:numId w:val="2"/>
      </w:numPr>
      <w:spacing w:before="0" w:after="0"/>
      <w:ind w:hanging="0" w:left="0" w:right="0"/>
    </w:pPr>
    <w:rPr/>
  </w:style>
  <w:style w:type="paragraph" w:styleId="14">
    <w:name w:val="Список 1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qFormat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qFormat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qFormat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qFormat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qFormat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qFormat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qFormat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qFormat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TableofFigures">
    <w:name w:val="table of figures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paragraph" w:styleId="1LTGliederung1">
    <w:name w:val="Обычный 1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"/>
    <w:qFormat/>
  </w:style>
  <w:style w:type="numbering" w:styleId="Style53">
    <w:name w:val="Маркированный "/>
    <w:qFormat/>
  </w:style>
  <w:style w:type="numbering" w:styleId="Style54">
    <w:name w:val="Маркированный 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pi.ru/oge/normativno-pravovye-dokumenty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LibreOffice/24.8.4.2$Linux_X86_64 LibreOffice_project/480$Build-2</Application>
  <AppVersion>15.0000</AppVersion>
  <Pages>6</Pages>
  <Words>1191</Words>
  <Characters>8400</Characters>
  <CharactersWithSpaces>9560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2025-03-28T17:22:45Z</dcterms:created>
  <dc:creator/>
  <dc:description/>
  <dc:language>ru-RU</dc:language>
  <cp:lastModifiedBy/>
  <dcterms:modified xsi:type="dcterms:W3CDTF">2025-07-04T15:49:39Z</dcterms:modified>
  <cp:revision>16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